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left"/>
        <w:rPr>
          <w:b/>
          <w:bCs/>
          <w:snapToGrid w:val="0"/>
          <w:kern w:val="0"/>
          <w:sz w:val="28"/>
          <w:szCs w:val="28"/>
        </w:rPr>
      </w:pPr>
    </w:p>
    <w:p>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象山社区医院污水处理站运维服务项目</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SZZZ2023-QC0048</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Pr>
        <w:pStyle w:val="28"/>
        <w:adjustRightInd w:val="0"/>
        <w:snapToGrid w:val="0"/>
        <w:spacing w:line="300" w:lineRule="auto"/>
        <w:ind w:hanging="835"/>
        <w:jc w:val="center"/>
        <w:rPr>
          <w:b/>
          <w:kern w:val="0"/>
          <w:sz w:val="28"/>
          <w:szCs w:val="28"/>
        </w:rPr>
      </w:pPr>
      <w:r>
        <w:rPr>
          <w:rFonts w:hint="eastAsia"/>
          <w:b/>
          <w:snapToGrid w:val="0"/>
          <w:sz w:val="30"/>
        </w:rPr>
        <w:t>二〇二三年</w:t>
      </w:r>
      <w:r>
        <w:rPr>
          <w:rFonts w:hint="eastAsia"/>
          <w:b/>
          <w:snapToGrid w:val="0"/>
          <w:sz w:val="30"/>
          <w:lang w:val="en-US" w:eastAsia="zh-CN"/>
        </w:rPr>
        <w:t>三</w:t>
      </w:r>
      <w:r>
        <w:rPr>
          <w:rFonts w:hint="eastAsia"/>
          <w:b/>
          <w:snapToGrid w:val="0"/>
          <w:sz w:val="30"/>
        </w:rPr>
        <w:t>月</w:t>
      </w:r>
      <w:r>
        <w:rPr>
          <w:b/>
          <w:kern w:val="0"/>
          <w:sz w:val="28"/>
          <w:szCs w:val="28"/>
        </w:rPr>
        <w:br w:type="page"/>
      </w: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二、《深圳经济特区政府采购条例实施细则》第七十六条 供应商有下列行为之一的，由主管部门记入供应商诚信档案并作出以下处罚：</w:t>
      </w:r>
    </w:p>
    <w:p>
      <w:pPr>
        <w:spacing w:line="440" w:lineRule="exact"/>
        <w:ind w:firstLine="480" w:firstLineChars="200"/>
        <w:rPr>
          <w:rFonts w:ascii="仿宋" w:hAnsi="仿宋" w:eastAsia="仿宋"/>
          <w:sz w:val="24"/>
        </w:rPr>
      </w:pPr>
      <w:r>
        <w:rPr>
          <w:rFonts w:hint="eastAsia" w:ascii="仿宋" w:hAnsi="仿宋" w:eastAsia="仿宋"/>
          <w:sz w:val="24"/>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pPr>
        <w:spacing w:line="440" w:lineRule="exact"/>
        <w:ind w:firstLine="480" w:firstLineChars="200"/>
        <w:rPr>
          <w:rFonts w:ascii="仿宋" w:hAnsi="仿宋" w:eastAsia="仿宋"/>
          <w:sz w:val="24"/>
        </w:rPr>
      </w:pPr>
      <w:r>
        <w:rPr>
          <w:rFonts w:hint="eastAsia" w:ascii="仿宋" w:hAnsi="仿宋" w:eastAsia="仿宋"/>
          <w:sz w:val="24"/>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pPr>
        <w:spacing w:line="440" w:lineRule="exact"/>
        <w:ind w:firstLine="480" w:firstLineChars="200"/>
        <w:rPr>
          <w:rFonts w:ascii="仿宋" w:hAnsi="仿宋" w:eastAsia="仿宋"/>
          <w:sz w:val="24"/>
        </w:rPr>
      </w:pPr>
      <w:r>
        <w:rPr>
          <w:rFonts w:hint="eastAsia" w:ascii="仿宋" w:hAnsi="仿宋" w:eastAsia="仿宋"/>
          <w:sz w:val="24"/>
        </w:rPr>
        <w:t xml:space="preserve">第七十七条 供应商有下列行为之一的，属于情节严重，由市场监管部门依法吊销其营业执照，主管部门取消其参与本市政府采购的资格，并作出以下处罚： </w:t>
      </w:r>
    </w:p>
    <w:p>
      <w:pPr>
        <w:spacing w:line="440" w:lineRule="exact"/>
        <w:ind w:firstLine="480" w:firstLineChars="200"/>
        <w:rPr>
          <w:rFonts w:ascii="仿宋" w:hAnsi="仿宋" w:eastAsia="仿宋"/>
          <w:sz w:val="24"/>
        </w:rPr>
      </w:pPr>
      <w:r>
        <w:rPr>
          <w:rFonts w:hint="eastAsia" w:ascii="仿宋" w:hAnsi="仿宋" w:eastAsia="仿宋"/>
          <w:sz w:val="24"/>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pPr>
        <w:spacing w:line="440" w:lineRule="exact"/>
        <w:ind w:firstLine="480" w:firstLineChars="200"/>
        <w:rPr>
          <w:rFonts w:ascii="仿宋" w:hAnsi="仿宋" w:eastAsia="仿宋"/>
          <w:sz w:val="24"/>
        </w:rPr>
      </w:pPr>
      <w:r>
        <w:rPr>
          <w:rFonts w:hint="eastAsia" w:ascii="仿宋" w:hAnsi="仿宋" w:eastAsia="仿宋"/>
          <w:sz w:val="24"/>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pPr>
        <w:spacing w:line="440" w:lineRule="exact"/>
        <w:ind w:firstLine="480" w:firstLineChars="200"/>
        <w:rPr>
          <w:rFonts w:ascii="仿宋" w:hAnsi="仿宋" w:eastAsia="仿宋"/>
          <w:sz w:val="24"/>
        </w:rPr>
      </w:pPr>
      <w:r>
        <w:rPr>
          <w:rFonts w:hint="eastAsia" w:ascii="仿宋" w:hAnsi="仿宋" w:eastAsia="仿宋"/>
          <w:sz w:val="24"/>
        </w:rPr>
        <w:t>第七十九条 供应商有下列情形的，属于采购条例所称的串通投标行为，按照采购条例第五十七条有关规定处理：</w:t>
      </w:r>
    </w:p>
    <w:p>
      <w:pPr>
        <w:spacing w:line="440" w:lineRule="exact"/>
        <w:ind w:firstLine="480" w:firstLineChars="200"/>
        <w:rPr>
          <w:rFonts w:ascii="仿宋" w:hAnsi="仿宋" w:eastAsia="仿宋"/>
          <w:sz w:val="24"/>
        </w:rPr>
      </w:pPr>
      <w:r>
        <w:rPr>
          <w:rFonts w:hint="eastAsia" w:ascii="仿宋" w:hAnsi="仿宋" w:eastAsia="仿宋"/>
          <w:sz w:val="24"/>
        </w:rPr>
        <w:t>（一）投标供应商之间相互约定给予未中标的供应商利益补偿；</w:t>
      </w:r>
    </w:p>
    <w:p>
      <w:pPr>
        <w:spacing w:line="440" w:lineRule="exact"/>
        <w:ind w:firstLine="480" w:firstLineChars="200"/>
        <w:rPr>
          <w:rFonts w:ascii="仿宋" w:hAnsi="仿宋" w:eastAsia="仿宋"/>
          <w:sz w:val="24"/>
        </w:rPr>
      </w:pPr>
      <w:r>
        <w:rPr>
          <w:rFonts w:hint="eastAsia" w:ascii="仿宋" w:hAnsi="仿宋" w:eastAsia="仿宋"/>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0" w:firstLineChars="200"/>
        <w:rPr>
          <w:rFonts w:ascii="仿宋" w:hAnsi="仿宋" w:eastAsia="仿宋"/>
          <w:sz w:val="24"/>
        </w:rPr>
      </w:pPr>
      <w:r>
        <w:rPr>
          <w:rFonts w:hint="eastAsia" w:ascii="仿宋" w:hAnsi="仿宋" w:eastAsia="仿宋"/>
          <w:sz w:val="24"/>
        </w:rPr>
        <w:t>（三）不同投标供应商的投标文件由同一单位或者同一人编制，或者由同一人分阶段参与编制的；</w:t>
      </w:r>
    </w:p>
    <w:p>
      <w:pPr>
        <w:spacing w:line="440" w:lineRule="exact"/>
        <w:ind w:firstLine="480" w:firstLineChars="200"/>
        <w:rPr>
          <w:rFonts w:ascii="仿宋" w:hAnsi="仿宋" w:eastAsia="仿宋"/>
          <w:sz w:val="24"/>
        </w:rPr>
      </w:pPr>
      <w:r>
        <w:rPr>
          <w:rFonts w:hint="eastAsia" w:ascii="仿宋" w:hAnsi="仿宋" w:eastAsia="仿宋"/>
          <w:sz w:val="24"/>
        </w:rPr>
        <w:t>（四）不同投标供应商的投标文件或部分投标文件相互混装；</w:t>
      </w:r>
    </w:p>
    <w:p>
      <w:pPr>
        <w:spacing w:line="440" w:lineRule="exact"/>
        <w:ind w:firstLine="480" w:firstLineChars="200"/>
        <w:rPr>
          <w:rFonts w:ascii="仿宋" w:hAnsi="仿宋" w:eastAsia="仿宋"/>
          <w:sz w:val="24"/>
        </w:rPr>
      </w:pPr>
      <w:r>
        <w:rPr>
          <w:rFonts w:hint="eastAsia" w:ascii="仿宋" w:hAnsi="仿宋" w:eastAsia="仿宋"/>
          <w:sz w:val="24"/>
        </w:rPr>
        <w:t>（五）不同投标供应商的投标文件内容存在非正常一致；</w:t>
      </w:r>
    </w:p>
    <w:p>
      <w:pPr>
        <w:spacing w:line="440" w:lineRule="exact"/>
        <w:ind w:firstLine="480" w:firstLineChars="200"/>
        <w:rPr>
          <w:rFonts w:ascii="仿宋" w:hAnsi="仿宋" w:eastAsia="仿宋"/>
          <w:sz w:val="24"/>
        </w:rPr>
      </w:pPr>
      <w:r>
        <w:rPr>
          <w:rFonts w:hint="eastAsia" w:ascii="仿宋" w:hAnsi="仿宋" w:eastAsia="仿宋"/>
          <w:sz w:val="24"/>
        </w:rPr>
        <w:t>（六）由同一单位工作人员为两家以上（含两家）供应商进行同一项投标活动的；</w:t>
      </w:r>
    </w:p>
    <w:p>
      <w:pPr>
        <w:spacing w:line="440" w:lineRule="exact"/>
        <w:ind w:firstLine="480" w:firstLineChars="200"/>
        <w:rPr>
          <w:rFonts w:ascii="仿宋" w:hAnsi="仿宋" w:eastAsia="仿宋"/>
          <w:sz w:val="24"/>
        </w:rPr>
      </w:pPr>
      <w:r>
        <w:rPr>
          <w:rFonts w:hint="eastAsia" w:ascii="仿宋" w:hAnsi="仿宋" w:eastAsia="仿宋"/>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第八十一条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三、根据《中华人民共和国政府采购法实施条例》第十八条规定：“单位负责人为同一人或者存在直接控股、管理关系的不同供应商，不得参加同一合同项下的政府采购活动。”</w:t>
      </w: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widowControl/>
        <w:spacing w:line="360" w:lineRule="auto"/>
        <w:ind w:firstLine="420" w:firstLineChars="200"/>
        <w:jc w:val="left"/>
      </w:pPr>
      <w:r>
        <w:br w:type="page"/>
      </w:r>
    </w:p>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4"/>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rPr>
              <w:lang w:val="zh-CN"/>
            </w:rPr>
          </w:pPr>
        </w:p>
        <w:p>
          <w:pPr>
            <w:pStyle w:val="34"/>
            <w:tabs>
              <w:tab w:val="right" w:leader="dot" w:pos="9628"/>
            </w:tabs>
            <w:spacing w:line="360" w:lineRule="exact"/>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"_Toc110410359"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_Toc110410359 \h </w:instrText>
          </w:r>
          <w:r>
            <w:rPr>
              <w:rFonts w:hint="eastAsia" w:ascii="仿宋_GB2312" w:eastAsia="仿宋_GB2312"/>
              <w:sz w:val="24"/>
            </w:rPr>
            <w:fldChar w:fldCharType="separate"/>
          </w:r>
          <w:r>
            <w:rPr>
              <w:rFonts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_Toc110410360 \h </w:instrText>
          </w:r>
          <w:r>
            <w:rPr>
              <w:rFonts w:hint="eastAsia" w:ascii="仿宋_GB2312" w:eastAsia="仿宋_GB2312"/>
              <w:sz w:val="24"/>
            </w:rPr>
            <w:fldChar w:fldCharType="separate"/>
          </w:r>
          <w:r>
            <w:rPr>
              <w:rFonts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_Toc110410361 \h </w:instrText>
          </w:r>
          <w:r>
            <w:rPr>
              <w:rFonts w:hint="eastAsia" w:ascii="仿宋_GB2312" w:eastAsia="仿宋_GB2312"/>
              <w:sz w:val="24"/>
            </w:rPr>
            <w:fldChar w:fldCharType="separate"/>
          </w:r>
          <w:r>
            <w:rPr>
              <w:rFonts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_Toc110410362 \h </w:instrText>
          </w:r>
          <w:r>
            <w:rPr>
              <w:rFonts w:hint="eastAsia" w:ascii="仿宋_GB2312" w:eastAsia="仿宋_GB2312"/>
              <w:sz w:val="24"/>
            </w:rPr>
            <w:fldChar w:fldCharType="separate"/>
          </w:r>
          <w:r>
            <w:rPr>
              <w:rFonts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_Toc110410363 \h </w:instrText>
          </w:r>
          <w:r>
            <w:rPr>
              <w:rFonts w:hint="eastAsia" w:ascii="仿宋_GB2312" w:eastAsia="仿宋_GB2312"/>
              <w:sz w:val="24"/>
            </w:rPr>
            <w:fldChar w:fldCharType="separate"/>
          </w:r>
          <w:r>
            <w:rPr>
              <w:rFonts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_Toc110410364 \h </w:instrText>
          </w:r>
          <w:r>
            <w:rPr>
              <w:rFonts w:hint="eastAsia" w:ascii="仿宋_GB2312" w:eastAsia="仿宋_GB2312"/>
              <w:sz w:val="24"/>
            </w:rPr>
            <w:fldChar w:fldCharType="separate"/>
          </w:r>
          <w:r>
            <w:rPr>
              <w:rFonts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_Toc110410365 \h </w:instrText>
          </w:r>
          <w:r>
            <w:rPr>
              <w:rFonts w:hint="eastAsia" w:ascii="仿宋_GB2312" w:eastAsia="仿宋_GB2312"/>
              <w:sz w:val="24"/>
            </w:rPr>
            <w:fldChar w:fldCharType="separate"/>
          </w:r>
          <w:r>
            <w:rPr>
              <w:rFonts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spacing w:line="360" w:lineRule="exact"/>
            <w:rPr>
              <w:rFonts w:ascii="仿宋_GB2312" w:eastAsia="仿宋_GB2312" w:hAnsiTheme="minorHAnsi" w:cstheme="minorBidi"/>
              <w:iCs w:val="0"/>
              <w:sz w:val="24"/>
            </w:rPr>
          </w:pPr>
          <w:r>
            <w:fldChar w:fldCharType="begin"/>
          </w:r>
          <w:r>
            <w:instrText xml:space="preserve"> HYPERLINK \l "_Toc110410366"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_Toc110410366 \h </w:instrText>
          </w:r>
          <w:r>
            <w:rPr>
              <w:rFonts w:hint="eastAsia" w:ascii="仿宋_GB2312" w:eastAsia="仿宋_GB2312"/>
              <w:sz w:val="24"/>
            </w:rPr>
            <w:fldChar w:fldCharType="separate"/>
          </w:r>
          <w:r>
            <w:rPr>
              <w:rFonts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spacing w:line="360" w:lineRule="exact"/>
            <w:rPr>
              <w:rFonts w:ascii="仿宋_GB2312" w:eastAsia="仿宋_GB2312" w:hAnsiTheme="minorHAnsi" w:cstheme="minorBidi"/>
              <w:iCs w:val="0"/>
              <w:sz w:val="24"/>
            </w:rPr>
          </w:pPr>
          <w:r>
            <w:fldChar w:fldCharType="begin"/>
          </w:r>
          <w:r>
            <w:instrText xml:space="preserve"> HYPERLINK \l "_Toc110410367"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_Toc110410367 \h </w:instrText>
          </w:r>
          <w:r>
            <w:rPr>
              <w:rFonts w:hint="eastAsia" w:ascii="仿宋_GB2312" w:eastAsia="仿宋_GB2312"/>
              <w:sz w:val="24"/>
            </w:rPr>
            <w:fldChar w:fldCharType="separate"/>
          </w:r>
          <w:r>
            <w:rPr>
              <w:rFonts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_Toc110410368 \h </w:instrText>
          </w:r>
          <w:r>
            <w:rPr>
              <w:rFonts w:hint="eastAsia" w:ascii="仿宋_GB2312" w:eastAsia="仿宋_GB2312"/>
              <w:sz w:val="24"/>
            </w:rPr>
            <w:fldChar w:fldCharType="separate"/>
          </w:r>
          <w:r>
            <w:rPr>
              <w:rFonts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_Toc110410369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_Toc110410370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_Toc110410371 \h </w:instrText>
          </w:r>
          <w:r>
            <w:rPr>
              <w:rFonts w:hint="eastAsia" w:ascii="仿宋_GB2312" w:eastAsia="仿宋_GB2312"/>
              <w:sz w:val="24"/>
            </w:rPr>
            <w:fldChar w:fldCharType="separate"/>
          </w:r>
          <w:r>
            <w:rPr>
              <w:rFonts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_Toc110410372 \h </w:instrText>
          </w:r>
          <w:r>
            <w:rPr>
              <w:rFonts w:hint="eastAsia" w:ascii="仿宋_GB2312" w:eastAsia="仿宋_GB2312"/>
              <w:sz w:val="24"/>
            </w:rPr>
            <w:fldChar w:fldCharType="separate"/>
          </w:r>
          <w:r>
            <w:rPr>
              <w:rFonts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_Toc110410373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_Toc110410374 \h </w:instrText>
          </w:r>
          <w:r>
            <w:rPr>
              <w:rFonts w:hint="eastAsia" w:ascii="仿宋_GB2312" w:eastAsia="仿宋_GB2312"/>
              <w:sz w:val="24"/>
            </w:rPr>
            <w:fldChar w:fldCharType="separate"/>
          </w:r>
          <w:r>
            <w:rPr>
              <w:rFonts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_Toc110410375 \h </w:instrText>
          </w:r>
          <w:r>
            <w:rPr>
              <w:rFonts w:hint="eastAsia" w:ascii="仿宋_GB2312" w:eastAsia="仿宋_GB2312"/>
              <w:sz w:val="24"/>
            </w:rPr>
            <w:fldChar w:fldCharType="separate"/>
          </w:r>
          <w:r>
            <w:rPr>
              <w:rFonts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_Toc110410376 \h </w:instrText>
          </w:r>
          <w:r>
            <w:rPr>
              <w:rFonts w:hint="eastAsia" w:ascii="仿宋_GB2312" w:eastAsia="仿宋_GB2312"/>
              <w:sz w:val="24"/>
            </w:rPr>
            <w:fldChar w:fldCharType="separate"/>
          </w:r>
          <w:r>
            <w:rPr>
              <w:rFonts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_Toc110410377 \h </w:instrText>
          </w:r>
          <w:r>
            <w:rPr>
              <w:rFonts w:hint="eastAsia" w:ascii="仿宋_GB2312" w:eastAsia="仿宋_GB2312"/>
              <w:sz w:val="24"/>
            </w:rPr>
            <w:fldChar w:fldCharType="separate"/>
          </w:r>
          <w:r>
            <w:rPr>
              <w:rFonts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_Toc110410378 \h </w:instrText>
          </w:r>
          <w:r>
            <w:rPr>
              <w:rFonts w:hint="eastAsia" w:ascii="仿宋_GB2312" w:eastAsia="仿宋_GB2312"/>
              <w:sz w:val="24"/>
            </w:rPr>
            <w:fldChar w:fldCharType="separate"/>
          </w:r>
          <w:r>
            <w:rPr>
              <w:rFonts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_Toc110410379 \h </w:instrText>
          </w:r>
          <w:r>
            <w:rPr>
              <w:rFonts w:hint="eastAsia" w:ascii="仿宋_GB2312" w:eastAsia="仿宋_GB2312"/>
              <w:sz w:val="24"/>
            </w:rPr>
            <w:fldChar w:fldCharType="separate"/>
          </w:r>
          <w:r>
            <w:rPr>
              <w:rFonts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_Toc110410380 \h </w:instrText>
          </w:r>
          <w:r>
            <w:rPr>
              <w:rFonts w:hint="eastAsia" w:ascii="仿宋_GB2312" w:eastAsia="仿宋_GB2312"/>
              <w:sz w:val="24"/>
            </w:rPr>
            <w:fldChar w:fldCharType="separate"/>
          </w:r>
          <w:r>
            <w:rPr>
              <w:rFonts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_Toc110410381 \h </w:instrText>
          </w:r>
          <w:r>
            <w:rPr>
              <w:rFonts w:hint="eastAsia" w:ascii="仿宋_GB2312" w:eastAsia="仿宋_GB2312"/>
              <w:sz w:val="24"/>
            </w:rPr>
            <w:fldChar w:fldCharType="separate"/>
          </w:r>
          <w:r>
            <w:rPr>
              <w:rFonts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"_Toc110410382"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_Toc110410382 \h </w:instrText>
          </w:r>
          <w:r>
            <w:rPr>
              <w:rFonts w:hint="eastAsia" w:ascii="仿宋_GB2312" w:eastAsia="仿宋_GB2312"/>
              <w:sz w:val="24"/>
            </w:rPr>
            <w:fldChar w:fldCharType="separate"/>
          </w:r>
          <w:r>
            <w:rPr>
              <w:rFonts w:ascii="仿宋_GB2312" w:eastAsia="仿宋_GB2312"/>
              <w:sz w:val="24"/>
            </w:rPr>
            <w:t>56</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"_Toc110410383"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_Toc110410383 \h </w:instrText>
          </w:r>
          <w:r>
            <w:rPr>
              <w:rFonts w:hint="eastAsia" w:ascii="仿宋_GB2312" w:eastAsia="仿宋_GB2312"/>
              <w:sz w:val="24"/>
            </w:rPr>
            <w:fldChar w:fldCharType="separate"/>
          </w:r>
          <w:r>
            <w:rPr>
              <w:rFonts w:ascii="仿宋_GB2312" w:eastAsia="仿宋_GB2312"/>
              <w:sz w:val="24"/>
            </w:rPr>
            <w:t>59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"_Toc110410384"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_Toc110410384 \h </w:instrText>
          </w:r>
          <w:r>
            <w:rPr>
              <w:rFonts w:hint="eastAsia" w:ascii="仿宋_GB2312" w:eastAsia="仿宋_GB2312"/>
              <w:sz w:val="24"/>
            </w:rPr>
            <w:fldChar w:fldCharType="separate"/>
          </w:r>
          <w:r>
            <w:rPr>
              <w:rFonts w:ascii="仿宋_GB2312" w:eastAsia="仿宋_GB2312"/>
              <w:sz w:val="24"/>
            </w:rPr>
            <w:t>59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"_Toc110410385"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_Toc110410385 \h </w:instrText>
          </w:r>
          <w:r>
            <w:rPr>
              <w:rFonts w:hint="eastAsia" w:ascii="仿宋_GB2312" w:eastAsia="仿宋_GB2312"/>
              <w:sz w:val="24"/>
            </w:rPr>
            <w:fldChar w:fldCharType="separate"/>
          </w:r>
          <w:r>
            <w:rPr>
              <w:rFonts w:ascii="仿宋_GB2312" w:eastAsia="仿宋_GB2312"/>
              <w:sz w:val="24"/>
            </w:rPr>
            <w:t>63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"_Toc110410386"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_Toc110410386 \h </w:instrText>
          </w:r>
          <w:r>
            <w:rPr>
              <w:rFonts w:hint="eastAsia" w:ascii="仿宋_GB2312" w:eastAsia="仿宋_GB2312"/>
              <w:sz w:val="24"/>
            </w:rPr>
            <w:fldChar w:fldCharType="separate"/>
          </w:r>
          <w:r>
            <w:rPr>
              <w:rFonts w:ascii="仿宋_GB2312" w:eastAsia="仿宋_GB2312"/>
              <w:sz w:val="24"/>
            </w:rPr>
            <w:t>66</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pPr>
          <w:r>
            <w:fldChar w:fldCharType="begin"/>
          </w:r>
          <w:r>
            <w:instrText xml:space="preserve"> HYPERLINK \l "_Toc110410387"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_Toc110410387 \h </w:instrText>
          </w:r>
          <w:r>
            <w:rPr>
              <w:rFonts w:hint="eastAsia" w:ascii="仿宋_GB2312" w:eastAsia="仿宋_GB2312"/>
              <w:sz w:val="24"/>
            </w:rPr>
            <w:fldChar w:fldCharType="separate"/>
          </w:r>
          <w:r>
            <w:rPr>
              <w:rFonts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r>
            <w:rPr>
              <w:rFonts w:hint="eastAsia" w:ascii="仿宋_GB2312" w:eastAsia="仿宋_GB2312"/>
              <w:sz w:val="24"/>
            </w:rPr>
            <w:fldChar w:fldCharType="end"/>
          </w:r>
        </w:p>
      </w:sdtContent>
    </w:sdt>
    <w:p>
      <w:pPr>
        <w:widowControl/>
        <w:jc w:val="left"/>
      </w:pPr>
      <w:r>
        <w:br w:type="page"/>
      </w:r>
    </w:p>
    <w:p/>
    <w:p>
      <w:pPr>
        <w:pStyle w:val="3"/>
      </w:pPr>
      <w:bookmarkStart w:id="0" w:name="_Toc1104103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象山社区医院污水处理站运维服务项目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2023年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SZZZ2023-QC0048</w:t>
      </w:r>
    </w:p>
    <w:p>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象山社区医院污水处理站运维服务项目</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rPr>
        <w:t xml:space="preserve"> 83.952 </w:t>
      </w:r>
      <w:r>
        <w:rPr>
          <w:rFonts w:hint="eastAsia" w:ascii="宋体" w:hAnsi="宋体" w:eastAsia="宋体"/>
          <w:snapToGrid w:val="0"/>
          <w:color w:val="auto"/>
          <w:sz w:val="21"/>
          <w:szCs w:val="21"/>
        </w:rPr>
        <w:t>万元</w:t>
      </w:r>
    </w:p>
    <w:p>
      <w:pPr>
        <w:pStyle w:val="453"/>
        <w:adjustRightInd w:val="0"/>
        <w:snapToGrid w:val="0"/>
        <w:spacing w:before="0" w:beforeAutospacing="0" w:after="0" w:afterAutospacing="0" w:line="360" w:lineRule="auto"/>
        <w:ind w:left="359" w:leftChars="171" w:firstLine="65" w:firstLineChars="31"/>
        <w:rPr>
          <w:rFonts w:hint="default" w:ascii="宋体" w:hAnsi="宋体" w:eastAsia="宋体"/>
          <w:b/>
          <w:snapToGrid w:val="0"/>
          <w:color w:val="0000FF"/>
          <w:sz w:val="21"/>
          <w:szCs w:val="21"/>
          <w:lang w:val="en-US" w:eastAsia="zh-CN"/>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rPr>
        <w:t xml:space="preserve"> 83.952 </w:t>
      </w:r>
      <w:r>
        <w:rPr>
          <w:rFonts w:hint="eastAsia" w:ascii="宋体" w:hAnsi="宋体" w:eastAsia="宋体"/>
          <w:snapToGrid w:val="0"/>
          <w:color w:val="auto"/>
          <w:sz w:val="21"/>
          <w:szCs w:val="21"/>
        </w:rPr>
        <w:t>万元</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pPr>
              <w:pStyle w:val="45"/>
              <w:spacing w:line="360" w:lineRule="auto"/>
              <w:jc w:val="center"/>
              <w:rPr>
                <w:sz w:val="21"/>
              </w:rPr>
            </w:pPr>
            <w:r>
              <w:rPr>
                <w:sz w:val="21"/>
              </w:rPr>
              <w:t>标的名称</w:t>
            </w:r>
          </w:p>
        </w:tc>
        <w:tc>
          <w:tcPr>
            <w:tcW w:w="921" w:type="dxa"/>
            <w:shd w:val="clear" w:color="auto" w:fill="ABCDEF"/>
            <w:vAlign w:val="center"/>
          </w:tcPr>
          <w:p>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5"/>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象山社区医院污水处理站运维服务项目</w:t>
            </w:r>
          </w:p>
        </w:tc>
        <w:tc>
          <w:tcPr>
            <w:tcW w:w="921"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投标人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（6）本项目不接受联合体投标，不允许非法分包或转包。</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2023年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日至2023年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3、方式：</w:t>
      </w:r>
      <w:r>
        <w:rPr>
          <w:rFonts w:ascii="宋体" w:hAnsi="宋体" w:eastAsia="宋体"/>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（2）线上获取：投标人通过邮件报名及获取招标文件，报名时间以我司邮箱收件时间为准（我司邮箱：qtszzzzb@163.com），逾期不予受理。</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 xml:space="preserve">现场及线上报名均需提供以下资料: </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1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①</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加盖公章的《购买标书登记表》（下载地址：www.szzzt.com 首页“下载中心”）；</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2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②</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加盖公章的营业执照复印件或扫描件；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3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③</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加盖公章的法人授权委托书复印件或扫描件；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4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④</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购买招标文件费用的银行转账凭证。</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2023年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453"/>
        <w:adjustRightInd w:val="0"/>
        <w:snapToGrid w:val="0"/>
        <w:spacing w:before="0" w:beforeAutospacing="0" w:after="0" w:afterAutospacing="0" w:line="360" w:lineRule="auto"/>
        <w:ind w:firstLine="426"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名称：深圳市中西医结合医院</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地址：深圳市宝安区新桥街道芙蓉工业区芙蓉二路1号1栋</w:t>
      </w:r>
    </w:p>
    <w:p>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万工，0755-27722241-3666</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pStyle w:val="453"/>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2023年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03</w:t>
      </w:r>
      <w:r>
        <w:rPr>
          <w:rFonts w:hint="eastAsia" w:ascii="宋体" w:hAnsi="宋体"/>
          <w:snapToGrid w:val="0"/>
          <w:kern w:val="0"/>
          <w:sz w:val="24"/>
        </w:rPr>
        <w:t>日</w:t>
      </w:r>
    </w:p>
    <w:p/>
    <w:p>
      <w:pPr>
        <w:pStyle w:val="3"/>
      </w:pPr>
      <w:bookmarkStart w:id="1" w:name="_Toc110410360"/>
      <w:r>
        <w:rPr>
          <w:rFonts w:hint="eastAsia"/>
        </w:rPr>
        <w:t>第二章  项目需求</w:t>
      </w:r>
      <w:bookmarkEnd w:id="1"/>
    </w:p>
    <w:p>
      <w:pPr>
        <w:spacing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5、加注★的条款为不可负偏离条款，任一项未响应或不满足要求的，将导致投标无效。</w:t>
      </w:r>
    </w:p>
    <w:p>
      <w:pPr>
        <w:pStyle w:val="321"/>
        <w:ind w:firstLine="0" w:firstLineChars="0"/>
        <w:rPr>
          <w:b/>
        </w:rPr>
      </w:pPr>
    </w:p>
    <w:p>
      <w:pPr>
        <w:pStyle w:val="321"/>
        <w:ind w:firstLine="0" w:firstLineChars="0"/>
        <w:rPr>
          <w:b/>
        </w:rPr>
      </w:pPr>
      <w:r>
        <w:rPr>
          <w:rFonts w:hint="eastAsia"/>
          <w:b/>
        </w:rPr>
        <w:t>一、项目概况</w:t>
      </w:r>
    </w:p>
    <w:p>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2278"/>
        <w:gridCol w:w="675"/>
        <w:gridCol w:w="720"/>
        <w:gridCol w:w="2445"/>
        <w:gridCol w:w="2812"/>
      </w:tblGrid>
      <w:tr>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序号</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项目名称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数量</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单位</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采购预算金额</w:t>
            </w:r>
          </w:p>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（人民币元）</w:t>
            </w:r>
          </w:p>
        </w:tc>
        <w:tc>
          <w:tcPr>
            <w:tcW w:w="2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b/>
                <w:szCs w:val="21"/>
              </w:rPr>
            </w:pPr>
            <w:r>
              <w:rPr>
                <w:rFonts w:hint="eastAsia" w:ascii="宋体" w:hAnsi="宋体" w:eastAsia="宋体" w:cs="宋体"/>
                <w:b/>
                <w:szCs w:val="21"/>
              </w:rPr>
              <w:t>备注</w:t>
            </w:r>
          </w:p>
        </w:tc>
      </w:tr>
      <w:tr>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rPr>
            </w:pPr>
            <w:r>
              <w:rPr>
                <w:rFonts w:hint="eastAsia" w:ascii="宋体" w:hAnsi="宋体" w:eastAsia="宋体" w:cs="宋体"/>
              </w:rPr>
              <w:t>1</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eastAsia="宋体" w:cs="宋体"/>
                <w:snapToGrid w:val="0"/>
                <w:szCs w:val="21"/>
                <w:lang w:eastAsia="zh-CN"/>
              </w:rPr>
              <w:t>象山社区医院污水处理站运维服务项目</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rPr>
            </w:pPr>
            <w:r>
              <w:rPr>
                <w:rFonts w:hint="eastAsia" w:ascii="宋体" w:hAnsi="宋体" w:eastAsia="宋体" w:cs="宋体"/>
                <w:szCs w:val="21"/>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rPr>
            </w:pPr>
            <w:r>
              <w:rPr>
                <w:rFonts w:hint="eastAsia" w:ascii="宋体" w:hAnsi="宋体" w:eastAsia="宋体" w:cs="宋体"/>
                <w:szCs w:val="21"/>
              </w:rPr>
              <w:t>项</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lang w:val="en-US" w:eastAsia="zh-CN"/>
              </w:rPr>
            </w:pPr>
            <w:r>
              <w:rPr>
                <w:rFonts w:hint="eastAsia" w:ascii="宋体" w:hAnsi="宋体" w:eastAsia="宋体" w:cs="宋体"/>
                <w:szCs w:val="21"/>
              </w:rPr>
              <w:t>839,520.00</w:t>
            </w:r>
          </w:p>
        </w:tc>
        <w:tc>
          <w:tcPr>
            <w:tcW w:w="2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eastAsia="宋体" w:cs="宋体"/>
                <w:szCs w:val="21"/>
              </w:rPr>
            </w:pPr>
            <w:r>
              <w:rPr>
                <w:rFonts w:hint="eastAsia" w:ascii="宋体" w:hAnsi="宋体" w:eastAsia="宋体" w:cs="宋体"/>
                <w:szCs w:val="21"/>
                <w:lang w:val="en-US" w:eastAsia="zh-CN"/>
              </w:rPr>
              <w:t>含运营服务费49.608万元和新增货物费34.344万元</w:t>
            </w:r>
          </w:p>
        </w:tc>
      </w:tr>
    </w:tbl>
    <w:p>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cs="Times New Roman"/>
          <w:snapToGrid/>
          <w:spacing w:val="0"/>
          <w:sz w:val="21"/>
          <w:szCs w:val="21"/>
        </w:rPr>
      </w:pPr>
      <w:r>
        <w:rPr>
          <w:rFonts w:hint="eastAsia" w:asciiTheme="minorEastAsia" w:hAnsiTheme="minorEastAsia" w:eastAsiaTheme="minorEastAsia"/>
          <w:b/>
          <w:sz w:val="21"/>
          <w:szCs w:val="21"/>
        </w:rPr>
        <w:t>（二）项目基本情况</w:t>
      </w:r>
    </w:p>
    <w:p>
      <w:pPr>
        <w:pStyle w:val="3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sz w:val="21"/>
          <w:szCs w:val="21"/>
        </w:rPr>
      </w:pPr>
      <w:r>
        <w:rPr>
          <w:rFonts w:hint="eastAsia" w:ascii="长城仿宋" w:eastAsia="宋体"/>
          <w:sz w:val="21"/>
          <w:szCs w:val="21"/>
        </w:rPr>
        <w:t>为确保</w:t>
      </w:r>
      <w:r>
        <w:rPr>
          <w:rFonts w:hint="eastAsia" w:ascii="长城仿宋"/>
          <w:sz w:val="21"/>
          <w:szCs w:val="21"/>
          <w:lang w:val="en-US" w:eastAsia="zh-CN"/>
        </w:rPr>
        <w:t>采购人</w:t>
      </w:r>
      <w:r>
        <w:rPr>
          <w:rFonts w:hint="eastAsia" w:ascii="长城仿宋" w:eastAsia="宋体"/>
          <w:sz w:val="21"/>
          <w:szCs w:val="21"/>
        </w:rPr>
        <w:t>污水站各单元正常运行、排放的污废水稳定、达标，环保部门事宜对接及时。需根据实际需要对缺少的设备单元进行补全安装全新设备并调试及托管运维。</w:t>
      </w:r>
    </w:p>
    <w:p>
      <w:pPr>
        <w:pStyle w:val="321"/>
        <w:ind w:firstLine="0" w:firstLineChars="0"/>
        <w:rPr>
          <w:rFonts w:hint="eastAsia"/>
          <w:b/>
        </w:rPr>
      </w:pPr>
    </w:p>
    <w:p>
      <w:pPr>
        <w:pStyle w:val="321"/>
        <w:ind w:firstLine="0" w:firstLineChars="0"/>
        <w:rPr>
          <w:b/>
        </w:rPr>
      </w:pPr>
      <w:r>
        <w:rPr>
          <w:rFonts w:hint="eastAsia"/>
          <w:b/>
        </w:rPr>
        <w:t>二、项目服务要求</w:t>
      </w:r>
    </w:p>
    <w:p>
      <w:pPr>
        <w:pStyle w:val="346"/>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kern w:val="2"/>
          <w:sz w:val="21"/>
          <w:szCs w:val="21"/>
        </w:rPr>
      </w:pPr>
      <w:r>
        <w:rPr>
          <w:rFonts w:hint="eastAsia" w:ascii="宋体" w:hAnsi="宋体" w:cs="宋体"/>
          <w:b/>
          <w:bCs w:val="0"/>
          <w:kern w:val="2"/>
          <w:sz w:val="21"/>
          <w:szCs w:val="21"/>
          <w:lang w:eastAsia="zh-CN"/>
        </w:rPr>
        <w:t>（</w:t>
      </w:r>
      <w:r>
        <w:rPr>
          <w:rFonts w:hint="eastAsia" w:ascii="宋体" w:hAnsi="宋体" w:cs="宋体"/>
          <w:b/>
          <w:bCs w:val="0"/>
          <w:kern w:val="2"/>
          <w:sz w:val="21"/>
          <w:szCs w:val="21"/>
          <w:lang w:val="en-US" w:eastAsia="zh-CN"/>
        </w:rPr>
        <w:t>一</w:t>
      </w:r>
      <w:r>
        <w:rPr>
          <w:rFonts w:hint="eastAsia" w:ascii="宋体" w:hAnsi="宋体" w:cs="宋体"/>
          <w:b/>
          <w:bCs w:val="0"/>
          <w:kern w:val="2"/>
          <w:sz w:val="21"/>
          <w:szCs w:val="21"/>
          <w:lang w:eastAsia="zh-CN"/>
        </w:rPr>
        <w:t>）</w:t>
      </w:r>
      <w:r>
        <w:rPr>
          <w:rFonts w:hint="eastAsia" w:ascii="宋体" w:hAnsi="宋体" w:cs="宋体"/>
          <w:b/>
          <w:bCs w:val="0"/>
          <w:kern w:val="2"/>
          <w:sz w:val="21"/>
          <w:szCs w:val="21"/>
          <w:lang w:val="en-US" w:eastAsia="zh-CN"/>
        </w:rPr>
        <w:t>具体要求</w:t>
      </w:r>
      <w:r>
        <w:rPr>
          <w:rFonts w:hint="eastAsia" w:ascii="宋体" w:hAnsi="宋体" w:eastAsia="宋体" w:cs="宋体"/>
          <w:b/>
          <w:bCs w:val="0"/>
          <w:kern w:val="2"/>
          <w:sz w:val="21"/>
          <w:szCs w:val="21"/>
        </w:rPr>
        <w:t>：</w:t>
      </w:r>
    </w:p>
    <w:p>
      <w:pPr>
        <w:pStyle w:val="3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①</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深圳市中西医结合医院象山社区医院位于深圳市宝安区新桥街道芙蓉工业区芙蓉二路1号1栋，规划床位规模为95张。于2021年1月19日取得环评备案回执（深环宝备【2021】156号）。根据要求该社区医院污水经过处理后的对外排放水质应该执行《医疗机构水污染物排放标准》（GB18466-2005）表2标准，经处理后的污水排入市政污水管网后进入污水处理厂。现新建的污水处理设施已经建设完成，医院的排水需要经过该污水处理设施处理达标后才能进行排放。</w:t>
      </w:r>
    </w:p>
    <w:p>
      <w:pPr>
        <w:pStyle w:val="34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②</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新建污水站的设计处理量为120m</w:t>
      </w:r>
      <w:r>
        <w:rPr>
          <w:rFonts w:hint="eastAsia" w:ascii="宋体" w:hAnsi="宋体" w:eastAsia="宋体" w:cs="宋体"/>
          <w:kern w:val="2"/>
          <w:sz w:val="21"/>
          <w:szCs w:val="21"/>
          <w:vertAlign w:val="superscript"/>
        </w:rPr>
        <w:t>3</w:t>
      </w:r>
      <w:r>
        <w:rPr>
          <w:rFonts w:hint="eastAsia" w:ascii="宋体" w:hAnsi="宋体" w:eastAsia="宋体" w:cs="宋体"/>
          <w:kern w:val="2"/>
          <w:sz w:val="21"/>
          <w:szCs w:val="21"/>
        </w:rPr>
        <w:t>/d， 24小时运行，约为5m</w:t>
      </w:r>
      <w:r>
        <w:rPr>
          <w:rFonts w:hint="eastAsia" w:ascii="宋体" w:hAnsi="宋体" w:eastAsia="宋体" w:cs="宋体"/>
          <w:kern w:val="2"/>
          <w:sz w:val="21"/>
          <w:szCs w:val="21"/>
          <w:vertAlign w:val="superscript"/>
        </w:rPr>
        <w:t>3</w:t>
      </w:r>
      <w:r>
        <w:rPr>
          <w:rFonts w:hint="eastAsia" w:ascii="宋体" w:hAnsi="宋体" w:eastAsia="宋体" w:cs="宋体"/>
          <w:kern w:val="2"/>
          <w:sz w:val="21"/>
          <w:szCs w:val="21"/>
        </w:rPr>
        <w:t>/h。根据医院实际情况，本次招标按最大处理量150m</w:t>
      </w:r>
      <w:r>
        <w:rPr>
          <w:rFonts w:hint="eastAsia" w:ascii="宋体" w:hAnsi="宋体" w:eastAsia="宋体" w:cs="宋体"/>
          <w:kern w:val="2"/>
          <w:sz w:val="21"/>
          <w:szCs w:val="21"/>
          <w:vertAlign w:val="superscript"/>
        </w:rPr>
        <w:t>3</w:t>
      </w:r>
      <w:r>
        <w:rPr>
          <w:rFonts w:hint="eastAsia" w:ascii="宋体" w:hAnsi="宋体" w:eastAsia="宋体" w:cs="宋体"/>
          <w:kern w:val="2"/>
          <w:sz w:val="21"/>
          <w:szCs w:val="21"/>
        </w:rPr>
        <w:t>/d进行招标，本项目医疗废水需要执行GB18466-2005《医疗机构水污染物排放标准》的表2综合医院排放标准，其中：沙门氏菌、志贺氏菌不得检出；详见下表</w:t>
      </w:r>
      <w:r>
        <w:rPr>
          <w:rFonts w:hint="eastAsia" w:ascii="宋体" w:hAnsi="宋体" w:cs="宋体"/>
          <w:kern w:val="2"/>
          <w:sz w:val="21"/>
          <w:szCs w:val="21"/>
          <w:lang w:eastAsia="zh-CN"/>
        </w:rPr>
        <w:t>：</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cs="宋体"/>
          <w:sz w:val="21"/>
          <w:szCs w:val="21"/>
          <w:lang w:val="en-US" w:eastAsia="zh-CN"/>
        </w:rPr>
        <w:t>2：</w:t>
      </w:r>
      <w:r>
        <w:rPr>
          <w:rFonts w:hint="eastAsia" w:ascii="宋体" w:hAnsi="宋体" w:eastAsia="宋体" w:cs="宋体"/>
          <w:sz w:val="21"/>
          <w:szCs w:val="21"/>
        </w:rPr>
        <w:t>综合医疗机构和其他医疗机构水污染物排放限值（日均值）排放标准</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1"/>
        <w:gridCol w:w="4766"/>
        <w:gridCol w:w="25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tblHeader/>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控   制   项   目</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排放标准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粪大肠菌群数/（MPN/L）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肠道致病菌</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不得检出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肠道病毒</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不得检出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pH</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化学需氧量（COD）浓度（mg/L）</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最高允许排放负荷/[g/(床位.d)]</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60</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生化需氧量浓度（mg/L）</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最高允许排放负荷/[g/(床位.d)]</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悬浮物（ss）浓度（mg/L）</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最高允许排放负荷/[g/(床位.d)]</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氨氮/（mg/L）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动植物油/（mg/L）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石油类/（mg/L）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阴离子表面活性剂/（mg/L）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色度/（稀释倍数）</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挥发酚/（mg/L）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总氰化物/（mg/L）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总汞/（mg/L）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总镉/（mg/L）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总铬/（mg/L）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六价铬/（mg/L）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总砷/（mg/L）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总铅/（mg/L）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总银/（mg/L）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总a/(Bq/L)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总β/(Bq/L)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261"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4766"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总余氯1）2）/（mg/L）</w:t>
            </w:r>
          </w:p>
        </w:tc>
        <w:tc>
          <w:tcPr>
            <w:tcW w:w="2507" w:type="dxa"/>
            <w:tcBorders>
              <w:tl2br w:val="nil"/>
              <w:tr2bl w:val="nil"/>
            </w:tcBorders>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0.5</w:t>
            </w:r>
          </w:p>
        </w:tc>
      </w:tr>
    </w:tbl>
    <w:p>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sz w:val="21"/>
          <w:szCs w:val="21"/>
        </w:rPr>
      </w:pPr>
      <w:r>
        <w:rPr>
          <w:rFonts w:hint="eastAsia" w:ascii="宋体" w:hAnsi="宋体" w:eastAsia="宋体" w:cs="宋体"/>
          <w:sz w:val="21"/>
          <w:szCs w:val="21"/>
        </w:rPr>
        <w:t>注： 1）采用含氯消毒剂消毒的工艺控制要求为：消毒接触池接触时间≥1h，接触池出口总余氯3-10（mg/L）；</w:t>
      </w:r>
    </w:p>
    <w:p>
      <w:pPr>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sz w:val="21"/>
          <w:szCs w:val="21"/>
          <w:lang w:eastAsia="zh-CN"/>
        </w:rPr>
      </w:pPr>
      <w:r>
        <w:rPr>
          <w:rFonts w:hint="eastAsia" w:ascii="宋体" w:hAnsi="宋体" w:eastAsia="宋体" w:cs="宋体"/>
          <w:sz w:val="21"/>
          <w:szCs w:val="21"/>
        </w:rPr>
        <w:t>2）采用其他消毒剂对总余氯不做要求</w:t>
      </w:r>
      <w:r>
        <w:rPr>
          <w:rFonts w:hint="eastAsia" w:ascii="宋体" w:hAnsi="宋体" w:cs="宋体"/>
          <w:sz w:val="21"/>
          <w:szCs w:val="21"/>
          <w:lang w:eastAsia="zh-CN"/>
        </w:rPr>
        <w:t>；</w:t>
      </w:r>
    </w:p>
    <w:p>
      <w:pPr>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按照环保部门法要求，粪大肠菌群数指标执行≤100MPN/L的标准，总余氯执行6.5mg/l~10mg/l的标准。</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sz w:val="21"/>
          <w:szCs w:val="21"/>
        </w:rPr>
      </w:pPr>
      <w:r>
        <w:rPr>
          <w:rFonts w:hint="eastAsia" w:ascii="宋体" w:hAnsi="宋体" w:cs="宋体"/>
          <w:kern w:val="2"/>
          <w:sz w:val="21"/>
          <w:szCs w:val="21"/>
          <w:lang w:val="en-US" w:eastAsia="zh-CN"/>
        </w:rPr>
        <w:t>4</w:t>
      </w:r>
      <w:r>
        <w:rPr>
          <w:rFonts w:hint="eastAsia" w:ascii="宋体" w:hAnsi="宋体" w:eastAsia="宋体" w:cs="宋体"/>
          <w:kern w:val="2"/>
          <w:sz w:val="21"/>
          <w:szCs w:val="21"/>
        </w:rPr>
        <w:t>）沙门氏菌、志贺氏菌不得检出。</w:t>
      </w:r>
    </w:p>
    <w:p>
      <w:pPr>
        <w:pStyle w:val="346"/>
        <w:keepNext w:val="0"/>
        <w:keepLines w:val="0"/>
        <w:pageBreakBefore w:val="0"/>
        <w:numPr>
          <w:ilvl w:val="0"/>
          <w:numId w:val="0"/>
        </w:numPr>
        <w:kinsoku/>
        <w:wordWrap/>
        <w:overflowPunct/>
        <w:topLinePunct w:val="0"/>
        <w:autoSpaceDE/>
        <w:autoSpaceDN/>
        <w:bidi w:val="0"/>
        <w:spacing w:line="360" w:lineRule="auto"/>
        <w:ind w:left="0" w:leftChars="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③</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水质水量：</w:t>
      </w:r>
    </w:p>
    <w:p>
      <w:pPr>
        <w:pStyle w:val="346"/>
        <w:keepNext w:val="0"/>
        <w:keepLines w:val="0"/>
        <w:pageBreakBefore w:val="0"/>
        <w:kinsoku/>
        <w:wordWrap/>
        <w:overflowPunct/>
        <w:topLinePunct w:val="0"/>
        <w:autoSpaceDE/>
        <w:autoSpaceDN/>
        <w:bidi w:val="0"/>
        <w:spacing w:line="360" w:lineRule="auto"/>
        <w:ind w:left="0" w:firstLine="525" w:firstLineChars="250"/>
        <w:textAlignment w:val="auto"/>
        <w:rPr>
          <w:rFonts w:hint="eastAsia" w:ascii="宋体" w:hAnsi="宋体" w:eastAsia="宋体" w:cs="宋体"/>
          <w:kern w:val="2"/>
          <w:sz w:val="21"/>
          <w:szCs w:val="21"/>
        </w:rPr>
      </w:pPr>
      <w:r>
        <w:rPr>
          <w:rFonts w:hint="eastAsia" w:ascii="宋体" w:hAnsi="宋体" w:eastAsia="宋体" w:cs="宋体"/>
          <w:color w:val="auto"/>
          <w:kern w:val="2"/>
          <w:sz w:val="21"/>
          <w:szCs w:val="21"/>
          <w:highlight w:val="none"/>
        </w:rPr>
        <w:t>医疗废水的设计处理量为120m</w:t>
      </w:r>
      <w:r>
        <w:rPr>
          <w:rFonts w:hint="eastAsia" w:ascii="宋体" w:hAnsi="宋体" w:eastAsia="宋体" w:cs="宋体"/>
          <w:color w:val="auto"/>
          <w:kern w:val="2"/>
          <w:sz w:val="21"/>
          <w:szCs w:val="21"/>
          <w:highlight w:val="none"/>
          <w:vertAlign w:val="superscript"/>
        </w:rPr>
        <w:t>3</w:t>
      </w:r>
      <w:r>
        <w:rPr>
          <w:rFonts w:hint="eastAsia" w:ascii="宋体" w:hAnsi="宋体" w:eastAsia="宋体" w:cs="宋体"/>
          <w:color w:val="auto"/>
          <w:kern w:val="2"/>
          <w:sz w:val="21"/>
          <w:szCs w:val="21"/>
          <w:highlight w:val="none"/>
        </w:rPr>
        <w:t>/d， 24小时运行，约为5m</w:t>
      </w:r>
      <w:r>
        <w:rPr>
          <w:rFonts w:hint="eastAsia" w:ascii="宋体" w:hAnsi="宋体" w:eastAsia="宋体" w:cs="宋体"/>
          <w:color w:val="auto"/>
          <w:kern w:val="2"/>
          <w:sz w:val="21"/>
          <w:szCs w:val="21"/>
          <w:highlight w:val="none"/>
          <w:vertAlign w:val="superscript"/>
        </w:rPr>
        <w:t>3</w:t>
      </w:r>
      <w:r>
        <w:rPr>
          <w:rFonts w:hint="eastAsia" w:ascii="宋体" w:hAnsi="宋体" w:eastAsia="宋体" w:cs="宋体"/>
          <w:color w:val="auto"/>
          <w:kern w:val="2"/>
          <w:sz w:val="21"/>
          <w:szCs w:val="21"/>
          <w:highlight w:val="none"/>
        </w:rPr>
        <w:t>/h。根据医院实际情况，本次招标按最大处理量150m</w:t>
      </w:r>
      <w:r>
        <w:rPr>
          <w:rFonts w:hint="eastAsia" w:ascii="宋体" w:hAnsi="宋体" w:eastAsia="宋体" w:cs="宋体"/>
          <w:color w:val="auto"/>
          <w:kern w:val="2"/>
          <w:sz w:val="21"/>
          <w:szCs w:val="21"/>
          <w:highlight w:val="none"/>
          <w:vertAlign w:val="superscript"/>
        </w:rPr>
        <w:t>3</w:t>
      </w:r>
      <w:r>
        <w:rPr>
          <w:rFonts w:hint="eastAsia" w:ascii="宋体" w:hAnsi="宋体" w:eastAsia="宋体" w:cs="宋体"/>
          <w:color w:val="auto"/>
          <w:kern w:val="2"/>
          <w:sz w:val="21"/>
          <w:szCs w:val="21"/>
          <w:highlight w:val="none"/>
        </w:rPr>
        <w:t>/d进行招标</w:t>
      </w:r>
      <w:r>
        <w:rPr>
          <w:rFonts w:hint="eastAsia" w:ascii="宋体" w:hAnsi="宋体" w:cs="宋体"/>
          <w:color w:val="auto"/>
          <w:kern w:val="2"/>
          <w:sz w:val="21"/>
          <w:szCs w:val="21"/>
          <w:highlight w:val="none"/>
          <w:lang w:eastAsia="zh-CN"/>
        </w:rPr>
        <w:t>。</w:t>
      </w:r>
      <w:r>
        <w:rPr>
          <w:rFonts w:hint="eastAsia" w:ascii="宋体" w:hAnsi="宋体" w:eastAsia="宋体" w:cs="宋体"/>
          <w:kern w:val="2"/>
          <w:sz w:val="21"/>
          <w:szCs w:val="21"/>
        </w:rPr>
        <w:t>本项目原水为常规的医院污水，处理后水质标准根据环保相关要求，排放水质须达到《医疗机构水污染物排放标准》GB18466-2005表2排放标准后排入市政管网。</w:t>
      </w:r>
    </w:p>
    <w:p>
      <w:pPr>
        <w:pStyle w:val="346"/>
        <w:keepNext w:val="0"/>
        <w:keepLines w:val="0"/>
        <w:pageBreakBefore w:val="0"/>
        <w:numPr>
          <w:ilvl w:val="0"/>
          <w:numId w:val="0"/>
        </w:numPr>
        <w:kinsoku/>
        <w:wordWrap/>
        <w:overflowPunct/>
        <w:topLinePunct w:val="0"/>
        <w:autoSpaceDE/>
        <w:autoSpaceDN/>
        <w:bidi w:val="0"/>
        <w:spacing w:line="360" w:lineRule="auto"/>
        <w:ind w:left="0" w:leftChars="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④</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工艺流程：</w:t>
      </w:r>
    </w:p>
    <w:p>
      <w:pPr>
        <w:pStyle w:val="346"/>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新建污水站采用的工艺流程如下：</w:t>
      </w:r>
    </w:p>
    <w:p>
      <w:pPr>
        <w:pStyle w:val="346"/>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医疗废水→格栅池→集水池→混凝沉淀池→沉淀池→消毒池→脱氯池→计量槽→排放</w:t>
      </w:r>
    </w:p>
    <w:p>
      <w:pPr>
        <w:pStyle w:val="346"/>
        <w:keepNext w:val="0"/>
        <w:keepLines w:val="0"/>
        <w:pageBreakBefore w:val="0"/>
        <w:numPr>
          <w:ilvl w:val="0"/>
          <w:numId w:val="0"/>
        </w:numPr>
        <w:kinsoku/>
        <w:wordWrap/>
        <w:overflowPunct/>
        <w:topLinePunct w:val="0"/>
        <w:autoSpaceDE/>
        <w:autoSpaceDN/>
        <w:bidi w:val="0"/>
        <w:spacing w:line="360" w:lineRule="auto"/>
        <w:ind w:left="0" w:leftChars="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⑤</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设施及运维服务的范围：</w:t>
      </w:r>
    </w:p>
    <w:p>
      <w:pPr>
        <w:pStyle w:val="346"/>
        <w:keepNext w:val="0"/>
        <w:keepLines w:val="0"/>
        <w:pageBreakBefore w:val="0"/>
        <w:kinsoku/>
        <w:wordWrap/>
        <w:overflowPunct/>
        <w:topLinePunct w:val="0"/>
        <w:autoSpaceDE/>
        <w:autoSpaceDN/>
        <w:bidi w:val="0"/>
        <w:spacing w:line="360" w:lineRule="auto"/>
        <w:ind w:left="0" w:firstLine="525" w:firstLineChars="25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1、</w:t>
      </w:r>
      <w:r>
        <w:rPr>
          <w:rFonts w:hint="eastAsia" w:ascii="宋体" w:hAnsi="宋体" w:eastAsia="宋体" w:cs="宋体"/>
          <w:kern w:val="2"/>
          <w:sz w:val="21"/>
          <w:szCs w:val="21"/>
        </w:rPr>
        <w:t>本项目为新建污水站的运维服务，其中的所有设备的运行维护保养，并对全新安装的设备进行投资安装建设，对污水站所有进行运营和维护。全面管理、维修、维护污水处理设施范围内所有相关设备设施（包括调节池之后到计量槽之前的污水处理设施、药品仓库等）、水质在线监控设备，对接生态环境局相关工作。</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szCs w:val="21"/>
        </w:rPr>
        <w:t>▲</w:t>
      </w:r>
      <w:r>
        <w:rPr>
          <w:rFonts w:hint="eastAsia" w:ascii="宋体" w:hAnsi="宋体" w:eastAsia="宋体" w:cs="宋体"/>
          <w:sz w:val="21"/>
          <w:szCs w:val="21"/>
        </w:rPr>
        <w:t>2、人员要求：污水站驻点负责污废水处理工作人员不少于3人；负责水质在线分析仪表维护人员不少于1人；技术负责人（项目经理）不少于1人；设备故障检修人员和作业车辆、工具若干。人员需持相应专业证书上岗，确保安全生产。</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szCs w:val="21"/>
        </w:rPr>
        <w:t>▲</w:t>
      </w:r>
      <w:r>
        <w:rPr>
          <w:rFonts w:hint="eastAsia" w:ascii="宋体" w:hAnsi="宋体" w:eastAsia="宋体" w:cs="宋体"/>
          <w:sz w:val="21"/>
          <w:szCs w:val="21"/>
        </w:rPr>
        <w:t>3、排放口排放水质随时抽查，排放水质应符合《医疗机构水污染物排放标准》（GB18466-2005）中的表2处理标准。医院污水未达标排放引发环保问题由服务单位负法律责任。</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4、水质在线分析系统仪表（包含但不限于：余氯仪表、PH仪表、COD仪、流量计、数采仪、门禁系统、排放口系统等）需根据《水污染源在线监测系统运行与考核技术规范（试行）》（HJ/T355-2019）、《深圳市水和废气污染源在线监测系统建设、验收、运行与考核及数据审核技术指南》以及市、区各级制定的各管理条例开展维护和校准，确保国发平台、智慧平台、区监控平台、物联网平台等各平台数据的完整性，确保传输率不低于生态环境部门的要求，并及时配合国家、市、区各级在线监管部门日常工作对接和接洽。确保传输率不低于97%。</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szCs w:val="21"/>
        </w:rPr>
        <w:t>▲</w:t>
      </w:r>
      <w:r>
        <w:rPr>
          <w:rFonts w:hint="eastAsia" w:ascii="宋体" w:hAnsi="宋体" w:eastAsia="宋体" w:cs="宋体"/>
          <w:sz w:val="21"/>
          <w:szCs w:val="21"/>
        </w:rPr>
        <w:t>5、对污水站各设备单元根据不同性能要求进行维护和保养，确保设备处于最佳的运行状态，尽最大限度延长设备的使用寿命。制定相应的废水处理操作规程、制定本院污水站设备的保养方法及计划、特别对重要设备根据说明书进行周期保养和调试校准（如：罗茨风机、格栅机、压滤机、水泵等）。严禁出现设备或管道堵塞，水满水溢等污染环境事件。</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6、配合生态环境部门和卫生主管部门的各项检查。落实好各项整改内容。代表</w:t>
      </w:r>
      <w:r>
        <w:rPr>
          <w:rFonts w:hint="eastAsia" w:ascii="宋体" w:hAnsi="宋体" w:cs="宋体"/>
          <w:sz w:val="21"/>
          <w:szCs w:val="21"/>
          <w:lang w:eastAsia="zh-CN"/>
        </w:rPr>
        <w:t>采购人</w:t>
      </w:r>
      <w:r>
        <w:rPr>
          <w:rFonts w:hint="eastAsia" w:ascii="宋体" w:hAnsi="宋体" w:eastAsia="宋体" w:cs="宋体"/>
          <w:sz w:val="21"/>
          <w:szCs w:val="21"/>
        </w:rPr>
        <w:t>参加各类与环保相关的专题会议，维护好</w:t>
      </w:r>
      <w:r>
        <w:rPr>
          <w:rFonts w:hint="eastAsia" w:ascii="宋体" w:hAnsi="宋体" w:cs="宋体"/>
          <w:sz w:val="21"/>
          <w:szCs w:val="21"/>
          <w:lang w:eastAsia="zh-CN"/>
        </w:rPr>
        <w:t>采购人</w:t>
      </w:r>
      <w:r>
        <w:rPr>
          <w:rFonts w:hint="eastAsia" w:ascii="宋体" w:hAnsi="宋体" w:eastAsia="宋体" w:cs="宋体"/>
          <w:sz w:val="21"/>
          <w:szCs w:val="21"/>
        </w:rPr>
        <w:t>相关领域对外的信誉和形象。对污水站排放情况及时公示，接受公众监督。</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7、填报各监管部门需要的资料和网络平台，包含但不限于：《深圳市企业环保服务平台（即:信用评价平台）》、《广东省固体废物环境信息监管平台》、《广东省污染源全过程物联自动监控平台》、《全国污染源信息管理与共享平台》、《广东省企业事业单位环境信息公开平台(即：环境信息披露平台)》、《重点排污单位自动监控与基础数据库系统》等与环保相关的各平台。确保相关网络平台的周报、月报、季报、年报填报工作及时、准确。并且负责</w:t>
      </w:r>
      <w:r>
        <w:rPr>
          <w:rFonts w:hint="eastAsia" w:ascii="宋体" w:hAnsi="宋体" w:cs="宋体"/>
          <w:color w:val="000000"/>
          <w:sz w:val="21"/>
          <w:szCs w:val="21"/>
          <w:lang w:val="en-US" w:eastAsia="zh-CN"/>
        </w:rPr>
        <w:t>采购人</w:t>
      </w:r>
      <w:r>
        <w:rPr>
          <w:rFonts w:hint="eastAsia" w:ascii="宋体" w:hAnsi="宋体" w:eastAsia="宋体" w:cs="宋体"/>
          <w:color w:val="000000"/>
          <w:sz w:val="21"/>
          <w:szCs w:val="21"/>
          <w:lang w:val="en-US" w:eastAsia="zh-CN"/>
        </w:rPr>
        <w:t>三甲审查资料整理配合。</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8、设备巡检和检测要求：</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污水处理设备：不间断巡查设备设施，确保设备正常运转，水质处理达标，排污顺畅，严禁超标排放或堵塞外溢。手工监测排放水质和水量情况，监测污染因子包含但不限于：余氯、PH、悬浮物、COD等，监测频率为：</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en-US" w:eastAsia="zh-CN"/>
        </w:rPr>
        <w:t>监测污水站污水流量并检测排放口余氯、接触池余氯、COD 、PH 值等，频率不少于4 次/日；</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每周检测SS 值至少 1 次</w:t>
      </w:r>
      <w:r>
        <w:rPr>
          <w:rFonts w:hint="eastAsia" w:ascii="宋体" w:hAnsi="宋体" w:cs="宋体"/>
          <w:color w:val="000000"/>
          <w:sz w:val="21"/>
          <w:szCs w:val="21"/>
          <w:lang w:val="en-US" w:eastAsia="zh-CN"/>
        </w:rPr>
        <w:t>。</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另外</w:t>
      </w:r>
      <w:r>
        <w:rPr>
          <w:rFonts w:hint="eastAsia" w:ascii="宋体" w:hAnsi="宋体" w:eastAsia="宋体" w:cs="宋体"/>
          <w:color w:val="000000"/>
          <w:sz w:val="21"/>
          <w:szCs w:val="21"/>
          <w:lang w:val="en-US" w:eastAsia="zh-CN"/>
        </w:rPr>
        <w:t>由</w:t>
      </w:r>
      <w:r>
        <w:rPr>
          <w:rFonts w:hint="eastAsia" w:ascii="宋体" w:hAnsi="宋体" w:cs="宋体"/>
          <w:color w:val="000000"/>
          <w:sz w:val="21"/>
          <w:szCs w:val="21"/>
          <w:lang w:val="en-US" w:eastAsia="zh-CN"/>
        </w:rPr>
        <w:t>采购人</w:t>
      </w:r>
      <w:r>
        <w:rPr>
          <w:rFonts w:hint="eastAsia" w:ascii="宋体" w:hAnsi="宋体" w:eastAsia="宋体" w:cs="宋体"/>
          <w:color w:val="000000"/>
          <w:sz w:val="21"/>
          <w:szCs w:val="21"/>
          <w:lang w:val="en-US" w:eastAsia="zh-CN"/>
        </w:rPr>
        <w:t>委托第三方水质检测机构对排污要求的指标进行检测，费用由</w:t>
      </w:r>
      <w:r>
        <w:rPr>
          <w:rFonts w:hint="eastAsia" w:ascii="宋体" w:hAnsi="宋体" w:cs="宋体"/>
          <w:color w:val="000000"/>
          <w:sz w:val="21"/>
          <w:szCs w:val="21"/>
          <w:lang w:val="en-US" w:eastAsia="zh-CN"/>
        </w:rPr>
        <w:t>采购人</w:t>
      </w:r>
      <w:r>
        <w:rPr>
          <w:rFonts w:hint="eastAsia" w:ascii="宋体" w:hAnsi="宋体" w:eastAsia="宋体" w:cs="宋体"/>
          <w:color w:val="000000"/>
          <w:sz w:val="21"/>
          <w:szCs w:val="21"/>
          <w:lang w:val="en-US" w:eastAsia="zh-CN"/>
        </w:rPr>
        <w:t>承担。）</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8.2水质在线监测设备校准频率为：每周至少一次，设备比对检测频率为：每季度至少一次仪表仪器比对，并出具报告。</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8.3做好水质在线分析仪器运行管理、数据报告、数据比对等相关在线监测系统的运维(流量、COD、氨氮、余氯、PH等)：</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8.3.1在线设备</w:t>
      </w:r>
      <w:r>
        <w:rPr>
          <w:rFonts w:hint="eastAsia" w:ascii="宋体" w:hAnsi="宋体" w:eastAsia="宋体" w:cs="宋体"/>
          <w:color w:val="000000"/>
          <w:sz w:val="21"/>
          <w:szCs w:val="21"/>
          <w:lang w:val="en-US" w:eastAsia="zh-CN"/>
        </w:rPr>
        <w:t>日常维护</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按产品使用说明书有关规定执行，定期提供或更换日常维护保养耗材，做好运营管理工作计划和确保设备能稳定连续运行。</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定期维护巡检：日常巡检应至少每三天进行一次，包括检查项目、被检项目运行状态等内容，每次巡检结果应有记录并归档。日常巡检规程应包含该系统运行状况、工作状况、系统辅助设备运行状况、各主要部件的运行状况、各分析仪的校准工作等必检项目和记录，以及仪器使用说明书中规定的其他检查项目和记录。每次巡检必须填报设备巡检记录。</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维护保养：每月对设备进行一次维护保养应检查耗材的污染损耗情况，各易损件的使用情况，管路通畅情况等，及时进行清洗更换。每次保养情况应有记录并归档。每次进行备件或材料更换时应对更换的备件或材料的品名、规格、数量等进行记录并归档。每次维护保养必须填写设备保养记录。</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8.3.2</w:t>
      </w:r>
      <w:r>
        <w:rPr>
          <w:rFonts w:hint="eastAsia" w:ascii="宋体" w:hAnsi="宋体" w:eastAsia="宋体" w:cs="宋体"/>
          <w:color w:val="000000"/>
          <w:sz w:val="21"/>
          <w:szCs w:val="21"/>
          <w:lang w:val="en-US" w:eastAsia="zh-CN"/>
        </w:rPr>
        <w:t>系统检修</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发现运行出现问题或接到运行问题通知，运行维护人员在120分钟内到现场，检查设备问题，判定问题原因并作相应进行处理。</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系统自动监测仪器因设备原因造成中断，停机时间不得超过6小时；</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对于一些容易诊断的故障应在当天解决，对不易诊断和维修的仪器故障，应在24小时内完成维修，如维修不能按期完成，则用备用的仪器部件替换，修好后，再替换下来。</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若监测仪器进行了维修或更换，在正常使用和运营之前必须对仪器进行一次对比监测和校验。</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设备维修后,需检测和校验检测合格后方可投入运行。</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设备维修后，应填写设备维修记录，仪器校验记录。</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8.3.3</w:t>
      </w:r>
      <w:r>
        <w:rPr>
          <w:rFonts w:hint="eastAsia" w:ascii="宋体" w:hAnsi="宋体" w:eastAsia="宋体" w:cs="宋体"/>
          <w:color w:val="000000"/>
          <w:sz w:val="21"/>
          <w:szCs w:val="21"/>
          <w:lang w:val="en-US" w:eastAsia="zh-CN"/>
        </w:rPr>
        <w:t>日常校验</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→至少1个月做一次校验测试，校验用参比方法和同时段数据进行对比。</w:t>
      </w:r>
    </w:p>
    <w:p>
      <w:pPr>
        <w:pStyle w:val="19"/>
        <w:keepNext w:val="0"/>
        <w:keepLines w:val="0"/>
        <w:pageBreakBefore w:val="0"/>
        <w:kinsoku/>
        <w:wordWrap/>
        <w:overflowPunct/>
        <w:topLinePunct w:val="0"/>
        <w:autoSpaceDE/>
        <w:autoSpaceDN/>
        <w:bidi w:val="0"/>
        <w:spacing w:line="360" w:lineRule="auto"/>
        <w:ind w:left="0" w:firstLine="315" w:firstLineChars="15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9、其他预防性维护</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（1）保持机房、实验室、监测用房（监控箱）的清洁，保持设备的清洁。</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（2）操作人员在对系统进行日常维护时，作好相关记录。</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（3）此处未提及的维护内容，参照相关仪器说明书要求执行。</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对污水站日常管理进行登记造册存档，动态登记档案内容包含但不限于：设备运行情况、水质排放情况、设备保养情况、各部门检查结果情况、卫生情况、整改落实情况、水质在线分析仪表运行记录表（7套）、演练情况、污泥清运情况、交接班情况、年终运行总结等报表和记录。</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11、负责药剂的采购、保管和使用。特别是危险化学品及易制毒易制爆品，需根据公安局要求完善所有采购和使用手续，对使用人员进行有效培训上岗，承担使用过程出现的意外事故责任和处罚责任。</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12</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污水站日常办公用品（如：勤务登记簿、雨具（雨衣、水鞋、雨伞等）、电脑、打印机等以上费用由中标方负责。</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13、应急管理：</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13.1</w:t>
      </w:r>
      <w:r>
        <w:rPr>
          <w:rFonts w:hint="eastAsia" w:ascii="宋体" w:hAnsi="宋体" w:eastAsia="宋体" w:cs="宋体"/>
          <w:color w:val="000000"/>
          <w:sz w:val="21"/>
          <w:szCs w:val="21"/>
          <w:lang w:val="en-US" w:eastAsia="zh-CN"/>
        </w:rPr>
        <w:t xml:space="preserve"> 对整个污水站落实《突发环境事件应急管理办法》要求，做好及时、高效、安全地处理运营项目内发 生的各类突发性重特大环境污染事件，把突发性重特大环境污染事件所造成的损失控制在最小范围 内，保障运营项目生态环境，保护公众人身安全，维护社会稳定。</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13.2</w:t>
      </w:r>
      <w:r>
        <w:rPr>
          <w:rFonts w:hint="eastAsia" w:ascii="宋体" w:hAnsi="宋体" w:eastAsia="宋体" w:cs="宋体"/>
          <w:color w:val="000000"/>
          <w:sz w:val="21"/>
          <w:szCs w:val="21"/>
          <w:lang w:val="en-US" w:eastAsia="zh-CN"/>
        </w:rPr>
        <w:t>每年至少一次配合</w:t>
      </w:r>
      <w:r>
        <w:rPr>
          <w:rFonts w:hint="eastAsia" w:ascii="宋体" w:hAnsi="宋体" w:cs="宋体"/>
          <w:color w:val="000000"/>
          <w:sz w:val="21"/>
          <w:szCs w:val="21"/>
          <w:lang w:val="en-US" w:eastAsia="zh-CN"/>
        </w:rPr>
        <w:t>采购人</w:t>
      </w:r>
      <w:r>
        <w:rPr>
          <w:rFonts w:hint="eastAsia" w:ascii="宋体" w:hAnsi="宋体" w:eastAsia="宋体" w:cs="宋体"/>
          <w:color w:val="000000"/>
          <w:sz w:val="21"/>
          <w:szCs w:val="21"/>
          <w:lang w:val="en-US" w:eastAsia="zh-CN"/>
        </w:rPr>
        <w:t>开展应急演练，内容涵盖：有限空间作业应急措施、水质超标应急措施、化学品泄漏应急措施等。并存留资料归档备查。</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13.3</w:t>
      </w:r>
      <w:r>
        <w:rPr>
          <w:rFonts w:hint="eastAsia" w:ascii="宋体" w:hAnsi="宋体" w:eastAsia="宋体" w:cs="宋体"/>
          <w:color w:val="000000"/>
          <w:sz w:val="21"/>
          <w:szCs w:val="21"/>
          <w:lang w:val="en-US" w:eastAsia="zh-CN"/>
        </w:rPr>
        <w:t>对水质在线设备故障应急措施：若系统仪器设备发生重大故障， 120分钟内做出有效的判断回应，3小时内安排维修人员前往现场处理故障。对于超过6小时不能恢复的故障，及时与各平台对接沟通，提供手工检测数据。对于超过24小时不能恢复的故障，还应免费提供备用设备顶替使用。</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14、负责污泥压榨，并根据生态环境局要求，进行收集、过称、交予有资质单位等工作的全流程跟踪和交接。避免出现污染事故。污泥及悬浮物至少每季度清理一次；污泥拉运费用由</w:t>
      </w:r>
      <w:r>
        <w:rPr>
          <w:rFonts w:hint="eastAsia" w:ascii="宋体" w:hAnsi="宋体" w:cs="宋体"/>
          <w:color w:val="000000"/>
          <w:sz w:val="21"/>
          <w:szCs w:val="21"/>
          <w:lang w:val="en-US" w:eastAsia="zh-CN"/>
        </w:rPr>
        <w:t>采购人</w:t>
      </w:r>
      <w:r>
        <w:rPr>
          <w:rFonts w:hint="eastAsia" w:ascii="宋体" w:hAnsi="宋体" w:eastAsia="宋体" w:cs="宋体"/>
          <w:color w:val="000000"/>
          <w:sz w:val="21"/>
          <w:szCs w:val="21"/>
          <w:lang w:val="en-US" w:eastAsia="zh-CN"/>
        </w:rPr>
        <w:t>负责，服务方负责配合污泥清运。</w:t>
      </w:r>
    </w:p>
    <w:p>
      <w:pPr>
        <w:pStyle w:val="19"/>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000000"/>
          <w:sz w:val="21"/>
          <w:szCs w:val="21"/>
          <w:lang w:val="en-US" w:eastAsia="zh-CN"/>
        </w:rPr>
      </w:pPr>
      <w:r>
        <w:rPr>
          <w:rFonts w:hint="eastAsia" w:ascii="宋体" w:hAnsi="宋体"/>
          <w:szCs w:val="21"/>
        </w:rPr>
        <w:t>▲</w:t>
      </w:r>
      <w:r>
        <w:rPr>
          <w:rFonts w:hint="eastAsia" w:ascii="宋体" w:hAnsi="宋体" w:eastAsia="宋体" w:cs="宋体"/>
          <w:color w:val="000000"/>
          <w:sz w:val="21"/>
          <w:szCs w:val="21"/>
          <w:lang w:val="en-US" w:eastAsia="zh-CN"/>
        </w:rPr>
        <w:t>15、承担中标方员工的过错或过失造成采购单位人员伤害或财物损失。</w:t>
      </w:r>
    </w:p>
    <w:p>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二</w:t>
      </w:r>
      <w:r>
        <w:rPr>
          <w:rFonts w:hint="eastAsia" w:ascii="宋体" w:hAnsi="宋体" w:cs="宋体"/>
          <w:b/>
          <w:sz w:val="21"/>
          <w:szCs w:val="21"/>
          <w:lang w:eastAsia="zh-CN"/>
        </w:rPr>
        <w:t>）</w:t>
      </w:r>
      <w:r>
        <w:rPr>
          <w:rFonts w:hint="eastAsia" w:ascii="宋体" w:hAnsi="宋体" w:eastAsia="宋体" w:cs="宋体"/>
          <w:b/>
          <w:sz w:val="21"/>
          <w:szCs w:val="21"/>
        </w:rPr>
        <w:t>售后服务要求：</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1、驻点人员不得离岗，其他技术支持和设备检修服务人员需根据服务需要最晚120分钟内做出响应。</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szCs w:val="21"/>
        </w:rPr>
        <w:t>▲</w:t>
      </w:r>
      <w:r>
        <w:rPr>
          <w:rFonts w:hint="eastAsia" w:ascii="宋体" w:hAnsi="宋体" w:eastAsia="宋体" w:cs="宋体"/>
          <w:kern w:val="2"/>
          <w:sz w:val="21"/>
          <w:szCs w:val="21"/>
        </w:rPr>
        <w:t>2、</w:t>
      </w:r>
      <w:r>
        <w:rPr>
          <w:rFonts w:hint="eastAsia" w:ascii="宋体" w:hAnsi="宋体" w:cs="宋体"/>
          <w:kern w:val="2"/>
          <w:sz w:val="21"/>
          <w:szCs w:val="21"/>
          <w:lang w:eastAsia="zh-CN"/>
        </w:rPr>
        <w:t>采购人</w:t>
      </w:r>
      <w:r>
        <w:rPr>
          <w:rFonts w:hint="eastAsia" w:ascii="宋体" w:hAnsi="宋体" w:eastAsia="宋体" w:cs="宋体"/>
          <w:kern w:val="2"/>
          <w:sz w:val="21"/>
          <w:szCs w:val="21"/>
        </w:rPr>
        <w:t>对服务单位提供的服务质量、专业技术能力等内容将根据合同中考核标准进行相应考核，对考核不达标的情况将根据合同约定进行相应处罚，考核内容和频次在合同中另行约定。</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szCs w:val="21"/>
        </w:rPr>
        <w:t>▲</w:t>
      </w:r>
      <w:r>
        <w:rPr>
          <w:rFonts w:hint="eastAsia" w:ascii="宋体" w:hAnsi="宋体" w:eastAsia="宋体" w:cs="宋体"/>
          <w:kern w:val="2"/>
          <w:sz w:val="21"/>
          <w:szCs w:val="21"/>
        </w:rPr>
        <w:t>3、在服务结束时，确保与接手单位无缝衔接，回交予</w:t>
      </w:r>
      <w:r>
        <w:rPr>
          <w:rFonts w:hint="eastAsia" w:ascii="宋体" w:hAnsi="宋体" w:cs="宋体"/>
          <w:kern w:val="2"/>
          <w:sz w:val="21"/>
          <w:szCs w:val="21"/>
          <w:lang w:eastAsia="zh-CN"/>
        </w:rPr>
        <w:t>采购人</w:t>
      </w:r>
      <w:r>
        <w:rPr>
          <w:rFonts w:hint="eastAsia" w:ascii="宋体" w:hAnsi="宋体" w:eastAsia="宋体" w:cs="宋体"/>
          <w:kern w:val="2"/>
          <w:sz w:val="21"/>
          <w:szCs w:val="21"/>
        </w:rPr>
        <w:t>的所有设备是完好、完整的状态。</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szCs w:val="21"/>
        </w:rPr>
        <w:t>▲</w:t>
      </w:r>
      <w:r>
        <w:rPr>
          <w:rFonts w:hint="eastAsia" w:ascii="宋体" w:hAnsi="宋体" w:eastAsia="宋体" w:cs="宋体"/>
          <w:kern w:val="2"/>
          <w:sz w:val="21"/>
          <w:szCs w:val="21"/>
        </w:rPr>
        <w:t>4、由于中标方员工的过错或过失造成采购单位人员伤害或财物损失，由中标方承担法律责任和经济责任；</w:t>
      </w:r>
    </w:p>
    <w:p>
      <w:pPr>
        <w:pStyle w:val="346"/>
        <w:keepNext w:val="0"/>
        <w:keepLines w:val="0"/>
        <w:pageBreakBefore w:val="0"/>
        <w:kinsoku/>
        <w:wordWrap/>
        <w:overflowPunct/>
        <w:topLinePunct w:val="0"/>
        <w:autoSpaceDE/>
        <w:autoSpaceDN/>
        <w:bidi w:val="0"/>
        <w:spacing w:line="360" w:lineRule="auto"/>
        <w:ind w:left="0" w:firstLine="420" w:firstLineChars="0"/>
        <w:textAlignment w:val="auto"/>
        <w:rPr>
          <w:rFonts w:hint="eastAsia" w:ascii="宋体" w:hAnsi="宋体" w:eastAsia="宋体" w:cs="宋体"/>
          <w:kern w:val="2"/>
          <w:sz w:val="21"/>
          <w:szCs w:val="21"/>
        </w:rPr>
      </w:pPr>
      <w:r>
        <w:rPr>
          <w:rFonts w:hint="eastAsia" w:ascii="宋体" w:hAnsi="宋体"/>
          <w:szCs w:val="21"/>
        </w:rPr>
        <w:t>▲</w:t>
      </w:r>
      <w:r>
        <w:rPr>
          <w:rFonts w:hint="eastAsia" w:ascii="宋体" w:hAnsi="宋体" w:eastAsia="宋体" w:cs="宋体"/>
          <w:kern w:val="2"/>
          <w:sz w:val="21"/>
          <w:szCs w:val="21"/>
        </w:rPr>
        <w:t>5、除以上要求外，另需满足以下要求：</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1)、提供医疗污水处理的消毒剂生产厂家的卫生许可证及检测报告和评价报告；</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2</w:t>
      </w:r>
      <w:r>
        <w:rPr>
          <w:rFonts w:hint="eastAsia" w:ascii="宋体" w:hAnsi="宋体" w:eastAsia="宋体" w:cs="宋体"/>
          <w:kern w:val="2"/>
          <w:sz w:val="21"/>
          <w:szCs w:val="21"/>
        </w:rPr>
        <w:t>）、提供废水站所需药剂及材料；</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3</w:t>
      </w:r>
      <w:r>
        <w:rPr>
          <w:rFonts w:hint="eastAsia" w:ascii="宋体" w:hAnsi="宋体" w:eastAsia="宋体" w:cs="宋体"/>
          <w:kern w:val="2"/>
          <w:sz w:val="21"/>
          <w:szCs w:val="21"/>
        </w:rPr>
        <w:t>）、为废水站配置专业的操作、维修和水质检测人员；</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4</w:t>
      </w:r>
      <w:r>
        <w:rPr>
          <w:rFonts w:hint="eastAsia" w:ascii="宋体" w:hAnsi="宋体" w:eastAsia="宋体" w:cs="宋体"/>
          <w:kern w:val="2"/>
          <w:sz w:val="21"/>
          <w:szCs w:val="21"/>
        </w:rPr>
        <w:t>）、处理设施及设备的日常维护、清洁及管理；</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5</w:t>
      </w:r>
      <w:r>
        <w:rPr>
          <w:rFonts w:hint="eastAsia" w:ascii="宋体" w:hAnsi="宋体" w:eastAsia="宋体" w:cs="宋体"/>
          <w:kern w:val="2"/>
          <w:sz w:val="21"/>
          <w:szCs w:val="21"/>
        </w:rPr>
        <w:t>）、根据污水处理设施需要，中标人对污泥、残渣、堵塞物做好相关合法合理处置工作，及时清运，不得随意倾倒在</w:t>
      </w:r>
      <w:r>
        <w:rPr>
          <w:rFonts w:hint="eastAsia" w:ascii="宋体" w:hAnsi="宋体" w:cs="宋体"/>
          <w:kern w:val="2"/>
          <w:sz w:val="21"/>
          <w:szCs w:val="21"/>
          <w:lang w:val="en-US" w:eastAsia="zh-CN"/>
        </w:rPr>
        <w:t>院</w:t>
      </w:r>
      <w:r>
        <w:rPr>
          <w:rFonts w:hint="eastAsia" w:ascii="宋体" w:hAnsi="宋体" w:eastAsia="宋体" w:cs="宋体"/>
          <w:kern w:val="2"/>
          <w:sz w:val="21"/>
          <w:szCs w:val="21"/>
        </w:rPr>
        <w:t>区内或周围市政排水系统管网中，如发生外泄，一切责任由中标人负责；</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6</w:t>
      </w:r>
      <w:r>
        <w:rPr>
          <w:rFonts w:hint="eastAsia" w:ascii="宋体" w:hAnsi="宋体" w:eastAsia="宋体" w:cs="宋体"/>
          <w:kern w:val="2"/>
          <w:sz w:val="21"/>
          <w:szCs w:val="21"/>
        </w:rPr>
        <w:t>）、建立健全的水质检测和检验制度，按照国家规定的检测项目、检测频率和有关标准、方法定期检测进出水水质，每月提供一份水质检验报告（月报表）并对报表上数据负责。</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7</w:t>
      </w:r>
      <w:r>
        <w:rPr>
          <w:rFonts w:hint="eastAsia" w:ascii="宋体" w:hAnsi="宋体" w:eastAsia="宋体" w:cs="宋体"/>
          <w:kern w:val="2"/>
          <w:sz w:val="21"/>
          <w:szCs w:val="21"/>
        </w:rPr>
        <w:t>）、建立完善安全生产制度和事故紧急应急机制，防止安全事故发生；</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8</w:t>
      </w:r>
      <w:r>
        <w:rPr>
          <w:rFonts w:hint="eastAsia" w:ascii="宋体" w:hAnsi="宋体" w:eastAsia="宋体" w:cs="宋体"/>
          <w:kern w:val="2"/>
          <w:sz w:val="21"/>
          <w:szCs w:val="21"/>
        </w:rPr>
        <w:t>）、污泥必须得到有效的处理处置，外运污泥含水率≤65%；</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9</w:t>
      </w:r>
      <w:r>
        <w:rPr>
          <w:rFonts w:hint="eastAsia" w:ascii="宋体" w:hAnsi="宋体" w:eastAsia="宋体" w:cs="宋体"/>
          <w:kern w:val="2"/>
          <w:sz w:val="21"/>
          <w:szCs w:val="21"/>
        </w:rPr>
        <w:t>）、保证废水站的正常运行，确保处理站的排水水质100%达标，承担因管理不善造成的水质排放超标罚款及违规排放行政罚款，并承担因此造成采购人的其他损失。</w:t>
      </w:r>
    </w:p>
    <w:p>
      <w:pPr>
        <w:pStyle w:val="346"/>
        <w:keepNext w:val="0"/>
        <w:keepLines w:val="0"/>
        <w:pageBreakBefore w:val="0"/>
        <w:kinsoku/>
        <w:wordWrap/>
        <w:overflowPunct/>
        <w:topLinePunct w:val="0"/>
        <w:autoSpaceDE/>
        <w:autoSpaceDN/>
        <w:bidi w:val="0"/>
        <w:spacing w:line="360" w:lineRule="auto"/>
        <w:ind w:left="0" w:firstLine="480"/>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rPr>
        <w:t>10</w:t>
      </w:r>
      <w:r>
        <w:rPr>
          <w:rFonts w:hint="eastAsia" w:ascii="宋体" w:hAnsi="宋体" w:eastAsia="宋体" w:cs="宋体"/>
          <w:kern w:val="2"/>
          <w:sz w:val="21"/>
          <w:szCs w:val="21"/>
        </w:rPr>
        <w:t>）、协助采购人处理</w:t>
      </w:r>
      <w:r>
        <w:rPr>
          <w:rFonts w:hint="eastAsia" w:ascii="宋体" w:hAnsi="宋体" w:cs="宋体"/>
          <w:kern w:val="2"/>
          <w:sz w:val="21"/>
          <w:szCs w:val="21"/>
          <w:lang w:val="en-US" w:eastAsia="zh-CN"/>
        </w:rPr>
        <w:t>院</w:t>
      </w:r>
      <w:r>
        <w:rPr>
          <w:rFonts w:hint="eastAsia" w:ascii="宋体" w:hAnsi="宋体" w:eastAsia="宋体" w:cs="宋体"/>
          <w:kern w:val="2"/>
          <w:sz w:val="21"/>
          <w:szCs w:val="21"/>
        </w:rPr>
        <w:t>区内噪声、废气等其他环保事宜，保证零有效投诉、环保检查及监测100%合格；</w:t>
      </w:r>
    </w:p>
    <w:p>
      <w:pPr>
        <w:pStyle w:val="346"/>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lang w:val="en-US" w:eastAsia="zh-CN"/>
        </w:rPr>
        <w:t>1</w:t>
      </w:r>
      <w:r>
        <w:rPr>
          <w:rFonts w:hint="eastAsia" w:ascii="宋体" w:hAnsi="宋体" w:eastAsia="宋体" w:cs="宋体"/>
          <w:kern w:val="2"/>
          <w:sz w:val="21"/>
          <w:szCs w:val="21"/>
        </w:rPr>
        <w:t>）、负责本项目污水处理站内及周边绿化、景观美化与环境卫生；</w:t>
      </w:r>
    </w:p>
    <w:p>
      <w:pPr>
        <w:pStyle w:val="506"/>
        <w:keepNext w:val="0"/>
        <w:keepLines w:val="0"/>
        <w:pageBreakBefore w:val="0"/>
        <w:widowControl w:val="0"/>
        <w:kinsoku/>
        <w:wordWrap/>
        <w:overflowPunct/>
        <w:topLinePunct w:val="0"/>
        <w:autoSpaceDE/>
        <w:autoSpaceDN/>
        <w:bidi w:val="0"/>
        <w:adjustRightInd/>
        <w:snapToGrid/>
        <w:spacing w:afterLines="0" w:line="360" w:lineRule="auto"/>
        <w:ind w:left="0" w:firstLine="420"/>
        <w:jc w:val="both"/>
        <w:textAlignment w:val="auto"/>
        <w:rPr>
          <w:rFonts w:cs="Times New Roman"/>
          <w:snapToGrid/>
          <w:spacing w:val="0"/>
          <w:sz w:val="21"/>
          <w:szCs w:val="21"/>
        </w:rPr>
      </w:pPr>
      <w:r>
        <w:rPr>
          <w:rFonts w:hint="eastAsia" w:ascii="宋体" w:hAnsi="宋体" w:eastAsia="宋体" w:cs="宋体"/>
          <w:kern w:val="2"/>
          <w:sz w:val="21"/>
          <w:szCs w:val="21"/>
        </w:rPr>
        <w:t>1</w:t>
      </w:r>
      <w:r>
        <w:rPr>
          <w:rFonts w:hint="eastAsia" w:cs="宋体"/>
          <w:kern w:val="2"/>
          <w:sz w:val="21"/>
          <w:szCs w:val="21"/>
          <w:lang w:val="en-US" w:eastAsia="zh-CN"/>
        </w:rPr>
        <w:t>2</w:t>
      </w:r>
      <w:r>
        <w:rPr>
          <w:rFonts w:hint="eastAsia" w:ascii="宋体" w:hAnsi="宋体" w:eastAsia="宋体" w:cs="宋体"/>
          <w:kern w:val="2"/>
          <w:sz w:val="21"/>
          <w:szCs w:val="21"/>
        </w:rPr>
        <w:t>）、建立完整的运营档案资料等。</w:t>
      </w:r>
    </w:p>
    <w:p>
      <w:pPr>
        <w:pStyle w:val="321"/>
        <w:ind w:firstLine="0" w:firstLineChars="0"/>
        <w:rPr>
          <w:rFonts w:hint="default" w:eastAsia="宋体"/>
          <w:b/>
          <w:sz w:val="21"/>
          <w:szCs w:val="21"/>
          <w:lang w:val="en-US" w:eastAsia="zh-CN"/>
        </w:rPr>
      </w:pPr>
      <w:r>
        <w:rPr>
          <w:rFonts w:hint="eastAsia"/>
          <w:b/>
          <w:sz w:val="21"/>
          <w:szCs w:val="21"/>
          <w:lang w:eastAsia="zh-CN"/>
        </w:rPr>
        <w:t>（</w:t>
      </w:r>
      <w:r>
        <w:rPr>
          <w:rFonts w:hint="eastAsia"/>
          <w:b/>
          <w:sz w:val="21"/>
          <w:szCs w:val="21"/>
          <w:lang w:val="en-US" w:eastAsia="zh-CN"/>
        </w:rPr>
        <w:t>三</w:t>
      </w:r>
      <w:r>
        <w:rPr>
          <w:rFonts w:hint="eastAsia"/>
          <w:b/>
          <w:sz w:val="21"/>
          <w:szCs w:val="21"/>
          <w:lang w:eastAsia="zh-CN"/>
        </w:rPr>
        <w:t>）</w:t>
      </w:r>
      <w:r>
        <w:rPr>
          <w:rFonts w:hint="eastAsia"/>
          <w:b/>
          <w:sz w:val="21"/>
          <w:szCs w:val="21"/>
          <w:lang w:val="en-US" w:eastAsia="zh-CN"/>
        </w:rPr>
        <w:t>新装设备明细（设备清单）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3"/>
        <w:gridCol w:w="3230"/>
        <w:gridCol w:w="30"/>
        <w:gridCol w:w="173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38" w:type="dxa"/>
            <w:gridSpan w:val="2"/>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3260" w:type="dxa"/>
            <w:gridSpan w:val="2"/>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1733"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993" w:type="dxa"/>
            <w:noWrap w:val="0"/>
            <w:vAlign w:val="center"/>
          </w:tcPr>
          <w:p>
            <w:pPr>
              <w:spacing w:line="36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新增设备预算金额（人民币元）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31" w:type="dxa"/>
            <w:gridSpan w:val="5"/>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一、水质在线监测设备（含门禁系统）</w:t>
            </w:r>
          </w:p>
        </w:tc>
        <w:tc>
          <w:tcPr>
            <w:tcW w:w="1993"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343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44</w:t>
            </w:r>
            <w:r>
              <w:rPr>
                <w:rFonts w:hint="eastAsia" w:ascii="宋体" w:hAnsi="宋体" w:cs="宋体"/>
                <w:sz w:val="21"/>
                <w:szCs w:val="21"/>
                <w:lang w:val="en-US" w:eastAsia="zh-CN"/>
              </w:rPr>
              <w:t>0.00</w:t>
            </w:r>
            <w:r>
              <w:rPr>
                <w:rFonts w:hint="eastAsia" w:ascii="宋体" w:hAnsi="宋体" w:eastAsia="宋体" w:cs="宋体"/>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超声波明渠流量计</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WL-1A1</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COD水质分析仪</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PhotoTek  6000</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氨氮水质分析仪</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PhotoTek  6000</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PH在线监测仪表</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EST9008A</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余氯在线监测仪</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DH-8200,量程1-20mg/l，带PH自动补偿</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采样系统(含留样器)</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Stek-600</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UPS电源、稳压器</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5kw</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数据采集器成套设备</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K37A定制</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一体化门禁</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DS-K1T6RL-FZ/WW</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门禁电源</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DS-K7M-AW50</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行为分析摄像机</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C2150-10-SLU（定制AI）</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目标抓拍摄像机</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C2150-10-SLU（定制AI）</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视频存储设备</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NVR-800</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LED室外显示系统</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55寸</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大功率POE交换机</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定制款</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标准排放口</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2000mm*600mm*800mm</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提升排放单元</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10-10-0.75台（一备一用）</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31" w:type="dxa"/>
            <w:gridSpan w:val="5"/>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二、污泥压滤系统</w:t>
            </w:r>
          </w:p>
        </w:tc>
        <w:tc>
          <w:tcPr>
            <w:tcW w:w="1993" w:type="dxa"/>
            <w:vMerge w:val="continue"/>
            <w:noWrap w:val="0"/>
            <w:vAlign w:val="center"/>
          </w:tcPr>
          <w:p>
            <w:pPr>
              <w:spacing w:line="36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污泥压滤机</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XAM10-UB,自动液压           过滤面积10平方</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污泥泵</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QBY-25</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2台</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空压机</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4kw</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25"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电控系统</w:t>
            </w:r>
          </w:p>
        </w:tc>
        <w:tc>
          <w:tcPr>
            <w:tcW w:w="324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控制箱、元器件</w:t>
            </w:r>
          </w:p>
        </w:tc>
        <w:tc>
          <w:tcPr>
            <w:tcW w:w="1763" w:type="dxa"/>
            <w:gridSpan w:val="2"/>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1套</w:t>
            </w:r>
          </w:p>
        </w:tc>
        <w:tc>
          <w:tcPr>
            <w:tcW w:w="1993" w:type="dxa"/>
            <w:vMerge w:val="continue"/>
            <w:noWrap w:val="0"/>
            <w:vAlign w:val="center"/>
          </w:tcPr>
          <w:p>
            <w:pPr>
              <w:spacing w:line="360" w:lineRule="auto"/>
              <w:jc w:val="center"/>
              <w:rPr>
                <w:rFonts w:hint="eastAsia" w:ascii="宋体" w:hAnsi="宋体" w:eastAsia="宋体" w:cs="宋体"/>
                <w:sz w:val="21"/>
                <w:szCs w:val="21"/>
              </w:rPr>
            </w:pPr>
          </w:p>
        </w:tc>
      </w:tr>
    </w:tbl>
    <w:p>
      <w:pPr>
        <w:pStyle w:val="321"/>
        <w:ind w:firstLine="0" w:firstLineChars="0"/>
        <w:rPr>
          <w:rFonts w:hint="eastAsia"/>
          <w:b/>
        </w:rPr>
      </w:pPr>
      <w:r>
        <w:rPr>
          <w:rFonts w:hint="eastAsia" w:ascii="宋体" w:hAnsi="宋体"/>
          <w:b/>
          <w:bCs/>
          <w:sz w:val="21"/>
          <w:szCs w:val="21"/>
          <w:highlight w:val="yellow"/>
        </w:rPr>
        <w:t>★备注：</w:t>
      </w:r>
      <w:r>
        <w:rPr>
          <w:rFonts w:hint="eastAsia"/>
          <w:b/>
          <w:bCs/>
          <w:sz w:val="21"/>
          <w:szCs w:val="21"/>
          <w:highlight w:val="yellow"/>
          <w:lang w:val="en-US" w:eastAsia="zh-CN"/>
        </w:rPr>
        <w:t>分项报价中“新增货物费”</w:t>
      </w:r>
      <w:r>
        <w:rPr>
          <w:rFonts w:hint="eastAsia" w:ascii="宋体" w:hAnsi="宋体"/>
          <w:b/>
          <w:bCs/>
          <w:sz w:val="21"/>
          <w:szCs w:val="21"/>
          <w:highlight w:val="yellow"/>
        </w:rPr>
        <w:t>不得超过其相应</w:t>
      </w:r>
      <w:r>
        <w:rPr>
          <w:rFonts w:hint="eastAsia"/>
          <w:b/>
          <w:bCs/>
          <w:sz w:val="21"/>
          <w:szCs w:val="21"/>
          <w:highlight w:val="yellow"/>
          <w:lang w:val="en-US" w:eastAsia="zh-CN"/>
        </w:rPr>
        <w:t>的</w:t>
      </w:r>
      <w:r>
        <w:rPr>
          <w:rFonts w:hint="eastAsia" w:ascii="宋体" w:hAnsi="宋体"/>
          <w:b/>
          <w:bCs/>
          <w:sz w:val="21"/>
          <w:szCs w:val="21"/>
          <w:highlight w:val="yellow"/>
        </w:rPr>
        <w:t>预算金额，否则将导致投标无效。</w:t>
      </w:r>
    </w:p>
    <w:p>
      <w:pPr>
        <w:pStyle w:val="321"/>
        <w:ind w:firstLine="0" w:firstLineChars="0"/>
        <w:rPr>
          <w:rFonts w:hint="eastAsia"/>
          <w:b/>
        </w:rPr>
      </w:pPr>
    </w:p>
    <w:p>
      <w:pPr>
        <w:pStyle w:val="321"/>
        <w:ind w:firstLine="0" w:firstLineChars="0"/>
        <w:rPr>
          <w:b/>
        </w:rPr>
      </w:pPr>
      <w:r>
        <w:rPr>
          <w:rFonts w:hint="eastAsia"/>
          <w:b/>
        </w:rPr>
        <w:t>三、项目商务要求</w:t>
      </w:r>
    </w:p>
    <w:p>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自合同签订之日起一年。本项目为长期服务项目，合同累计履行期限最长不得超过三十六个月。服务期满后采购人可根据项目需求和中标供应商的履约情况确定合同期限是否延长，最多续签两次，合同一年一签。</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pPr>
        <w:pStyle w:val="255"/>
        <w:spacing w:beforeLines="0" w:line="360" w:lineRule="auto"/>
        <w:ind w:firstLine="424" w:firstLineChars="202"/>
        <w:rPr>
          <w:rFonts w:hint="eastAsia" w:eastAsia="宋体" w:asciiTheme="minorEastAsia" w:hAnsiTheme="minorEastAsia"/>
          <w:b/>
          <w:lang w:eastAsia="zh-CN"/>
        </w:rPr>
      </w:pPr>
      <w:r>
        <w:rPr>
          <w:rFonts w:hint="eastAsia" w:ascii="宋体" w:hAnsi="宋体" w:eastAsia="宋体"/>
          <w:szCs w:val="21"/>
        </w:rPr>
        <w:t>采购人指定地点</w:t>
      </w:r>
      <w:r>
        <w:rPr>
          <w:rFonts w:hint="eastAsia" w:ascii="宋体" w:hAnsi="宋体" w:eastAsia="宋体"/>
          <w:szCs w:val="21"/>
          <w:lang w:eastAsia="zh-CN"/>
        </w:rPr>
        <w:t>。</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pPr>
        <w:spacing w:line="360" w:lineRule="auto"/>
        <w:ind w:firstLine="420" w:firstLineChars="200"/>
        <w:jc w:val="left"/>
        <w:rPr>
          <w:rFonts w:hint="eastAsia" w:ascii="宋体" w:hAnsi="宋体"/>
          <w:szCs w:val="21"/>
        </w:rPr>
      </w:pPr>
      <w:r>
        <w:rPr>
          <w:rFonts w:hint="eastAsia" w:ascii="宋体" w:hAnsi="宋体"/>
          <w:szCs w:val="21"/>
        </w:rPr>
        <w:t>报价为含税总包干价（含不可预计费用），</w:t>
      </w:r>
      <w:r>
        <w:rPr>
          <w:rFonts w:ascii="宋体" w:hAnsi="宋体"/>
          <w:szCs w:val="21"/>
        </w:rPr>
        <w:t>需包含</w:t>
      </w:r>
      <w:r>
        <w:rPr>
          <w:rFonts w:hint="eastAsia" w:ascii="宋体" w:hAnsi="宋体"/>
          <w:szCs w:val="21"/>
        </w:rPr>
        <w:t>3</w:t>
      </w:r>
      <w:r>
        <w:rPr>
          <w:rFonts w:ascii="宋体" w:hAnsi="宋体"/>
          <w:szCs w:val="21"/>
        </w:rPr>
        <w:t>名专业的医疗污水运营操作管理人员驻点运营的各项费用（含税）、日常自行检测药剂（含税）及劳保安全用品的费用和应急事件处理的费用（含税），保证医院医疗污水在设计的处理能力内达标排放。</w:t>
      </w:r>
      <w:r>
        <w:rPr>
          <w:rFonts w:hint="eastAsia" w:ascii="宋体" w:hAnsi="宋体"/>
          <w:szCs w:val="21"/>
        </w:rPr>
        <w:t>第一年运维价格包含新增（全新）设备（详见</w:t>
      </w:r>
      <w:r>
        <w:rPr>
          <w:rFonts w:hint="eastAsia" w:ascii="宋体" w:hAnsi="宋体"/>
          <w:szCs w:val="21"/>
          <w:lang w:val="en-US" w:eastAsia="zh-CN"/>
        </w:rPr>
        <w:t>上</w:t>
      </w:r>
      <w:r>
        <w:rPr>
          <w:rFonts w:hint="eastAsia" w:ascii="宋体" w:hAnsi="宋体"/>
          <w:szCs w:val="21"/>
        </w:rPr>
        <w:t>表</w:t>
      </w:r>
      <w:r>
        <w:rPr>
          <w:rFonts w:hint="eastAsia" w:ascii="宋体" w:hAnsi="宋体"/>
          <w:b/>
          <w:bCs/>
          <w:szCs w:val="21"/>
        </w:rPr>
        <w:t>设备清单</w:t>
      </w:r>
      <w:r>
        <w:rPr>
          <w:rFonts w:hint="eastAsia" w:ascii="宋体" w:hAnsi="宋体"/>
          <w:szCs w:val="21"/>
        </w:rPr>
        <w:t>）安装费用（设备安装费用平摊到第一年），运维一年后新增设备归</w:t>
      </w:r>
      <w:r>
        <w:rPr>
          <w:rFonts w:hint="eastAsia" w:ascii="宋体" w:hAnsi="宋体"/>
          <w:szCs w:val="21"/>
          <w:lang w:eastAsia="zh-CN"/>
        </w:rPr>
        <w:t>采购人</w:t>
      </w:r>
      <w:r>
        <w:rPr>
          <w:rFonts w:hint="eastAsia" w:ascii="宋体" w:hAnsi="宋体"/>
          <w:szCs w:val="21"/>
        </w:rPr>
        <w:t>所有；第二年第三年运维费用需减掉新增设备平摊的费用。设备在日常保养和维修中单一零配件价格或单一材料价格在200元（含200元）以下的费用由运营方承担；单价超过200元以上的材料费用由</w:t>
      </w:r>
      <w:r>
        <w:rPr>
          <w:rFonts w:hint="eastAsia" w:ascii="宋体" w:hAnsi="宋体"/>
          <w:szCs w:val="21"/>
          <w:lang w:eastAsia="zh-CN"/>
        </w:rPr>
        <w:t>采购人</w:t>
      </w:r>
      <w:r>
        <w:rPr>
          <w:rFonts w:hint="eastAsia" w:ascii="宋体" w:hAnsi="宋体"/>
          <w:szCs w:val="21"/>
        </w:rPr>
        <w:t>承担。</w:t>
      </w:r>
      <w:r>
        <w:rPr>
          <w:rFonts w:hint="eastAsia" w:ascii="宋体" w:hAnsi="宋体"/>
          <w:color w:val="auto"/>
          <w:szCs w:val="21"/>
          <w:lang w:val="en-US" w:eastAsia="zh-CN"/>
        </w:rPr>
        <w:t>投标人需根据自身情况结合项目需求，分别编制</w:t>
      </w:r>
      <w:r>
        <w:rPr>
          <w:rFonts w:hint="eastAsia" w:ascii="宋体" w:hAnsi="宋体" w:eastAsia="宋体"/>
          <w:snapToGrid w:val="0"/>
          <w:color w:val="auto"/>
          <w:sz w:val="21"/>
          <w:szCs w:val="21"/>
          <w:lang w:val="en-US" w:eastAsia="zh-CN"/>
        </w:rPr>
        <w:t>运营服务费和新增货物费</w:t>
      </w:r>
      <w:r>
        <w:rPr>
          <w:rFonts w:hint="eastAsia" w:ascii="宋体" w:hAnsi="宋体"/>
          <w:szCs w:val="21"/>
          <w:lang w:val="en-US" w:eastAsia="zh-CN"/>
        </w:rPr>
        <w:t>报价明细表。</w:t>
      </w:r>
      <w:r>
        <w:rPr>
          <w:rFonts w:hint="eastAsia" w:ascii="宋体" w:hAnsi="宋体"/>
          <w:szCs w:val="21"/>
        </w:rPr>
        <w:t>具体如下：</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1.</w:t>
      </w:r>
      <w:r>
        <w:rPr>
          <w:rFonts w:hint="eastAsia" w:ascii="宋体" w:hAnsi="宋体"/>
          <w:szCs w:val="21"/>
        </w:rPr>
        <w:t>水质检测和污泥处理以外的一切与之环保相关的费用，包含但不限于：人员工资、福利、保险、劳保用品、纠纷赔偿金等；</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2.</w:t>
      </w:r>
      <w:r>
        <w:rPr>
          <w:rFonts w:hint="eastAsia" w:ascii="宋体" w:hAnsi="宋体"/>
          <w:szCs w:val="21"/>
        </w:rPr>
        <w:t>用与处理污废水的药剂费（包含但不限于：盐酸、氯酸钠、次氯酸钠、PAC、PAM、二氧化氯等）、用于水质在线分析设备使用的药剂费（包含但不限于：COD设备药剂、PH校准药剂、余氯校准药剂等）；以及相应的合规仓储费、搬运费等；</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3.</w:t>
      </w:r>
      <w:r>
        <w:rPr>
          <w:rFonts w:hint="eastAsia" w:ascii="宋体" w:hAnsi="宋体"/>
          <w:szCs w:val="21"/>
        </w:rPr>
        <w:t>水质在线分析设备季度比对并出具报告的费用；</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4.</w:t>
      </w:r>
      <w:r>
        <w:rPr>
          <w:rFonts w:hint="eastAsia" w:ascii="宋体" w:hAnsi="宋体"/>
          <w:szCs w:val="21"/>
        </w:rPr>
        <w:t>设备维护保养费用；单位价值在200元（含200元）以内配件的更换费用，200元（含200元）以上报由</w:t>
      </w:r>
      <w:r>
        <w:rPr>
          <w:rFonts w:hint="eastAsia" w:ascii="宋体" w:hAnsi="宋体"/>
          <w:szCs w:val="21"/>
          <w:lang w:eastAsia="zh-CN"/>
        </w:rPr>
        <w:t>采购人</w:t>
      </w:r>
      <w:r>
        <w:rPr>
          <w:rFonts w:hint="eastAsia" w:ascii="宋体" w:hAnsi="宋体"/>
          <w:szCs w:val="21"/>
        </w:rPr>
        <w:t>审批采购；</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5.</w:t>
      </w:r>
      <w:r>
        <w:rPr>
          <w:rFonts w:hint="eastAsia" w:ascii="宋体" w:hAnsi="宋体"/>
          <w:szCs w:val="21"/>
        </w:rPr>
        <w:t>因处理不当、服务不周等原因产生的各项罚款；</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6.</w:t>
      </w:r>
      <w:r>
        <w:rPr>
          <w:rFonts w:hint="eastAsia" w:ascii="宋体" w:hAnsi="宋体"/>
          <w:szCs w:val="21"/>
        </w:rPr>
        <w:t>水质日常自行检测所需的药品和工具、劳保费用</w:t>
      </w:r>
      <w:r>
        <w:rPr>
          <w:rFonts w:hint="eastAsia" w:ascii="宋体" w:hAnsi="宋体"/>
          <w:szCs w:val="21"/>
          <w:lang w:eastAsia="zh-CN"/>
        </w:rPr>
        <w:t>；</w:t>
      </w:r>
    </w:p>
    <w:p>
      <w:pPr>
        <w:pStyle w:val="3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eastAsia="zh-CN"/>
        </w:rPr>
      </w:pPr>
      <w:r>
        <w:rPr>
          <w:rFonts w:hint="eastAsia" w:ascii="宋体" w:hAnsi="宋体"/>
          <w:sz w:val="21"/>
          <w:szCs w:val="21"/>
          <w:lang w:val="en-US" w:eastAsia="zh-CN"/>
        </w:rPr>
        <w:t>7.</w:t>
      </w:r>
      <w:r>
        <w:rPr>
          <w:rFonts w:hint="eastAsia" w:ascii="宋体" w:hAnsi="宋体"/>
          <w:sz w:val="21"/>
          <w:szCs w:val="21"/>
        </w:rPr>
        <w:t>压泥系统全新设备和水质在线系统全新设备的采购、安装、调试、验收费用。（全新安装设备包含：余氯仪表、PH仪表、COD仪、流量计、数采仪、门禁系统、压滤机及配套泵管等相关组件、规范化排放口系统，</w:t>
      </w:r>
      <w:r>
        <w:rPr>
          <w:rFonts w:hint="eastAsia"/>
          <w:sz w:val="21"/>
          <w:szCs w:val="21"/>
          <w:lang w:val="en-US" w:eastAsia="zh-CN"/>
        </w:rPr>
        <w:t>新装设备</w:t>
      </w:r>
      <w:r>
        <w:rPr>
          <w:rFonts w:hint="eastAsia" w:ascii="宋体" w:hAnsi="宋体"/>
          <w:sz w:val="21"/>
          <w:szCs w:val="21"/>
        </w:rPr>
        <w:t>具体详</w:t>
      </w:r>
      <w:r>
        <w:rPr>
          <w:rFonts w:hint="eastAsia" w:ascii="宋体" w:hAnsi="宋体"/>
          <w:color w:val="auto"/>
          <w:sz w:val="21"/>
          <w:szCs w:val="21"/>
        </w:rPr>
        <w:t>见</w:t>
      </w:r>
      <w:r>
        <w:rPr>
          <w:rFonts w:hint="eastAsia"/>
          <w:color w:val="auto"/>
          <w:sz w:val="21"/>
          <w:szCs w:val="21"/>
          <w:lang w:val="en-US" w:eastAsia="zh-CN"/>
        </w:rPr>
        <w:t>本招标文件第二章</w:t>
      </w:r>
      <w:r>
        <w:rPr>
          <w:rFonts w:hint="eastAsia"/>
          <w:b/>
          <w:bCs/>
          <w:color w:val="auto"/>
          <w:sz w:val="21"/>
          <w:szCs w:val="21"/>
          <w:lang w:val="en-US" w:eastAsia="zh-CN"/>
        </w:rPr>
        <w:t>“</w:t>
      </w:r>
      <w:r>
        <w:rPr>
          <w:rFonts w:hint="eastAsia"/>
          <w:b/>
          <w:bCs/>
          <w:color w:val="auto"/>
          <w:sz w:val="21"/>
          <w:szCs w:val="21"/>
          <w:lang w:eastAsia="zh-CN"/>
        </w:rPr>
        <w:t>（</w:t>
      </w:r>
      <w:r>
        <w:rPr>
          <w:rFonts w:hint="eastAsia"/>
          <w:b/>
          <w:bCs/>
          <w:color w:val="auto"/>
          <w:sz w:val="21"/>
          <w:szCs w:val="21"/>
          <w:lang w:val="en-US" w:eastAsia="zh-CN"/>
        </w:rPr>
        <w:t>三</w:t>
      </w:r>
      <w:r>
        <w:rPr>
          <w:rFonts w:hint="eastAsia"/>
          <w:b/>
          <w:bCs/>
          <w:color w:val="auto"/>
          <w:sz w:val="21"/>
          <w:szCs w:val="21"/>
          <w:lang w:eastAsia="zh-CN"/>
        </w:rPr>
        <w:t>）</w:t>
      </w:r>
      <w:r>
        <w:rPr>
          <w:rFonts w:hint="eastAsia"/>
          <w:b/>
          <w:bCs/>
          <w:color w:val="auto"/>
          <w:sz w:val="21"/>
          <w:szCs w:val="21"/>
          <w:lang w:val="en-US" w:eastAsia="zh-CN"/>
        </w:rPr>
        <w:t>新</w:t>
      </w:r>
      <w:r>
        <w:rPr>
          <w:rFonts w:hint="eastAsia"/>
          <w:b/>
          <w:color w:val="auto"/>
          <w:sz w:val="21"/>
          <w:szCs w:val="21"/>
          <w:lang w:val="en-US" w:eastAsia="zh-CN"/>
        </w:rPr>
        <w:t>装设备明细（设备清单）”</w:t>
      </w:r>
      <w:r>
        <w:rPr>
          <w:rFonts w:hint="eastAsia" w:ascii="宋体" w:hAnsi="宋体"/>
          <w:sz w:val="21"/>
          <w:szCs w:val="21"/>
        </w:rPr>
        <w:t>）</w:t>
      </w:r>
      <w:r>
        <w:rPr>
          <w:rFonts w:hint="eastAsia" w:ascii="宋体" w:hAnsi="宋体"/>
          <w:sz w:val="21"/>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 xml:space="preserve">8. </w:t>
      </w:r>
      <w:r>
        <w:rPr>
          <w:rFonts w:hint="eastAsia" w:ascii="宋体" w:hAnsi="宋体"/>
          <w:szCs w:val="21"/>
        </w:rPr>
        <w:t>COD、氨氮等水质在线检测设备所产生的废液委托有资质单位进行无害化处理费用</w:t>
      </w:r>
      <w:r>
        <w:rPr>
          <w:rFonts w:hint="eastAsia" w:ascii="宋体" w:hAnsi="宋体"/>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9.</w:t>
      </w:r>
      <w:r>
        <w:rPr>
          <w:rFonts w:hint="eastAsia" w:ascii="宋体" w:hAnsi="宋体"/>
          <w:szCs w:val="21"/>
        </w:rPr>
        <w:t>合理的管理费</w:t>
      </w:r>
      <w:r>
        <w:rPr>
          <w:rFonts w:hint="eastAsia" w:ascii="宋体" w:hAnsi="宋体"/>
          <w:szCs w:val="21"/>
          <w:lang w:eastAsia="zh-CN"/>
        </w:rPr>
        <w:t>、</w:t>
      </w:r>
      <w:r>
        <w:rPr>
          <w:rFonts w:hint="eastAsia" w:ascii="宋体" w:hAnsi="宋体"/>
          <w:szCs w:val="21"/>
        </w:rPr>
        <w:t>利润</w:t>
      </w:r>
      <w:r>
        <w:rPr>
          <w:rFonts w:hint="eastAsia" w:ascii="宋体" w:hAnsi="宋体"/>
          <w:szCs w:val="21"/>
          <w:lang w:eastAsia="zh-CN"/>
        </w:rPr>
        <w:t>、</w:t>
      </w:r>
      <w:r>
        <w:rPr>
          <w:rFonts w:hint="eastAsia" w:ascii="宋体" w:hAnsi="宋体"/>
          <w:szCs w:val="21"/>
        </w:rPr>
        <w:t>税费等</w:t>
      </w:r>
      <w:r>
        <w:rPr>
          <w:rFonts w:hint="eastAsia" w:ascii="宋体" w:hAnsi="宋体"/>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10.</w:t>
      </w:r>
      <w:r>
        <w:rPr>
          <w:rFonts w:hint="eastAsia" w:ascii="宋体" w:hAnsi="宋体"/>
          <w:szCs w:val="21"/>
        </w:rPr>
        <w:t>污水站日常办公用品（如：勤务登记簿、雨具、雨衣、水鞋、雨伞等）、电脑、打印机等以上费</w:t>
      </w:r>
      <w:r>
        <w:rPr>
          <w:rFonts w:hint="eastAsia" w:ascii="宋体" w:hAnsi="宋体"/>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11.</w:t>
      </w:r>
      <w:r>
        <w:rPr>
          <w:rFonts w:hint="eastAsia" w:ascii="宋体" w:hAnsi="宋体"/>
          <w:szCs w:val="21"/>
        </w:rPr>
        <w:t>不可预见费 (包含因污水站设备损坏期间需临时排放污水或特殊情况如下雨、消防等问题而产生的污水处理成本、疫情期间国家规范要求增加的污水运行成本) ，确保所有污水设备设施正常运行所必须的条</w:t>
      </w:r>
      <w:r>
        <w:rPr>
          <w:rFonts w:hint="eastAsia" w:ascii="宋体" w:hAnsi="宋体"/>
          <w:color w:val="auto"/>
          <w:szCs w:val="21"/>
        </w:rPr>
        <w:t>件</w:t>
      </w:r>
      <w:r>
        <w:rPr>
          <w:rFonts w:hint="eastAsia" w:ascii="宋体" w:hAnsi="宋体"/>
          <w:color w:val="auto"/>
          <w:szCs w:val="21"/>
          <w:lang w:val="en-US" w:eastAsia="zh-CN"/>
        </w:rPr>
        <w:t>成本</w:t>
      </w:r>
      <w:r>
        <w:rPr>
          <w:rFonts w:hint="eastAsia" w:ascii="宋体" w:hAnsi="宋体"/>
          <w:color w:val="auto"/>
          <w:szCs w:val="21"/>
          <w:lang w:eastAsia="zh-CN"/>
        </w:rPr>
        <w:t>；</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本项目服务费采用包干结合专项审核支付制，应包括服务成本、法定税费和企业的利润。由企业根据招标文件所提供的资料自行测算投标报价；一经中标，投标报价总价作为中标单位与采购人签定的合同金额，合同期限内不做调整。具体现场情况投标人进行踏勘，根据现状，编制符合现场实际情况的运维方案和报价。</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pPr>
        <w:spacing w:line="360" w:lineRule="auto"/>
        <w:ind w:firstLine="420" w:firstLineChars="200"/>
        <w:jc w:val="left"/>
        <w:rPr>
          <w:rFonts w:hint="eastAsia" w:ascii="宋体" w:hAnsi="宋体"/>
          <w:szCs w:val="21"/>
          <w:lang w:eastAsia="zh-CN"/>
        </w:rPr>
      </w:pPr>
      <w:r>
        <w:rPr>
          <w:rFonts w:hint="eastAsia" w:ascii="宋体" w:hAnsi="宋体"/>
          <w:szCs w:val="21"/>
          <w:lang w:val="en-US" w:eastAsia="zh-CN"/>
        </w:rPr>
        <w:t>1.</w:t>
      </w:r>
      <w:r>
        <w:rPr>
          <w:rFonts w:hint="eastAsia" w:ascii="宋体" w:hAnsi="宋体"/>
          <w:szCs w:val="21"/>
        </w:rPr>
        <w:t>凭发票按月支付，每月支付金额为中标总价的1/12。服务单位在运营服务费支付日提前15天提供合规的正式发票</w:t>
      </w:r>
      <w:r>
        <w:rPr>
          <w:rFonts w:hint="eastAsia" w:ascii="宋体" w:hAnsi="宋体"/>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color w:val="auto"/>
          <w:szCs w:val="21"/>
        </w:rPr>
        <w:t>本项目最高预算价为：￥839</w:t>
      </w:r>
      <w:r>
        <w:rPr>
          <w:rFonts w:hint="eastAsia" w:ascii="宋体" w:hAnsi="宋体"/>
          <w:color w:val="auto"/>
          <w:szCs w:val="21"/>
          <w:lang w:val="en-US" w:eastAsia="zh-CN"/>
        </w:rPr>
        <w:t>,</w:t>
      </w:r>
      <w:r>
        <w:rPr>
          <w:rFonts w:hint="eastAsia" w:ascii="宋体" w:hAnsi="宋体"/>
          <w:color w:val="auto"/>
          <w:szCs w:val="21"/>
        </w:rPr>
        <w:t>520</w:t>
      </w:r>
      <w:r>
        <w:rPr>
          <w:rFonts w:hint="eastAsia" w:ascii="宋体" w:hAnsi="宋体"/>
          <w:color w:val="auto"/>
          <w:szCs w:val="21"/>
          <w:lang w:val="en-US" w:eastAsia="zh-CN"/>
        </w:rPr>
        <w:t>.00</w:t>
      </w:r>
      <w:r>
        <w:rPr>
          <w:rFonts w:hint="eastAsia" w:ascii="宋体" w:hAnsi="宋体"/>
          <w:color w:val="auto"/>
          <w:szCs w:val="21"/>
        </w:rPr>
        <w:t>元(每月69960元</w:t>
      </w:r>
      <w:r>
        <w:rPr>
          <w:rFonts w:hint="eastAsia" w:ascii="宋体" w:hAnsi="宋体"/>
          <w:color w:val="auto"/>
          <w:szCs w:val="21"/>
          <w:lang w:eastAsia="zh-CN"/>
        </w:rPr>
        <w:t>，</w:t>
      </w:r>
      <w:r>
        <w:rPr>
          <w:rFonts w:hint="eastAsia" w:ascii="宋体" w:hAnsi="宋体"/>
          <w:color w:val="auto"/>
          <w:szCs w:val="21"/>
          <w:lang w:val="en-US" w:eastAsia="zh-CN"/>
        </w:rPr>
        <w:t>其中包括</w:t>
      </w:r>
      <w:r>
        <w:rPr>
          <w:rFonts w:hint="eastAsia" w:ascii="宋体" w:hAnsi="宋体" w:eastAsia="宋体" w:cs="宋体"/>
          <w:color w:val="auto"/>
          <w:szCs w:val="21"/>
          <w:lang w:val="en-US" w:eastAsia="zh-CN"/>
        </w:rPr>
        <w:t>运营服务费49.608万元和新增货物费34.344万元</w:t>
      </w:r>
      <w:r>
        <w:rPr>
          <w:rFonts w:hint="eastAsia" w:ascii="宋体" w:hAnsi="宋体"/>
          <w:color w:val="auto"/>
          <w:szCs w:val="21"/>
        </w:rPr>
        <w:t>)，</w:t>
      </w:r>
      <w:r>
        <w:rPr>
          <w:rFonts w:hint="eastAsia" w:ascii="宋体" w:hAnsi="宋体"/>
          <w:color w:val="auto"/>
          <w:szCs w:val="21"/>
          <w:lang w:val="en-US" w:eastAsia="zh-CN"/>
        </w:rPr>
        <w:t>如若采购人与中标单位续签合同，</w:t>
      </w:r>
      <w:r>
        <w:rPr>
          <w:rFonts w:hint="eastAsia" w:ascii="宋体" w:hAnsi="宋体"/>
          <w:color w:val="auto"/>
          <w:szCs w:val="21"/>
        </w:rPr>
        <w:t>第二年、第三年</w:t>
      </w:r>
      <w:r>
        <w:rPr>
          <w:rFonts w:hint="eastAsia" w:ascii="宋体" w:hAnsi="宋体"/>
          <w:color w:val="auto"/>
          <w:szCs w:val="21"/>
          <w:lang w:val="en-US" w:eastAsia="zh-CN"/>
        </w:rPr>
        <w:t>项目</w:t>
      </w:r>
      <w:r>
        <w:rPr>
          <w:rFonts w:hint="eastAsia" w:ascii="宋体" w:hAnsi="宋体" w:eastAsia="宋体" w:cs="宋体"/>
          <w:color w:val="auto"/>
          <w:szCs w:val="21"/>
          <w:lang w:val="en-US" w:eastAsia="zh-CN"/>
        </w:rPr>
        <w:t>运营服务费</w:t>
      </w:r>
      <w:r>
        <w:rPr>
          <w:rFonts w:hint="eastAsia" w:ascii="宋体" w:hAnsi="宋体" w:cs="宋体"/>
          <w:color w:val="auto"/>
          <w:szCs w:val="21"/>
          <w:lang w:val="en-US" w:eastAsia="zh-CN"/>
        </w:rPr>
        <w:t>与本项目的</w:t>
      </w:r>
      <w:r>
        <w:rPr>
          <w:rFonts w:hint="eastAsia" w:ascii="宋体" w:hAnsi="宋体" w:eastAsia="宋体" w:cs="宋体"/>
          <w:color w:val="auto"/>
          <w:szCs w:val="21"/>
          <w:lang w:val="en-US" w:eastAsia="zh-CN"/>
        </w:rPr>
        <w:t>运营服务费</w:t>
      </w:r>
      <w:r>
        <w:rPr>
          <w:rFonts w:hint="eastAsia" w:ascii="宋体" w:hAnsi="宋体" w:cs="宋体"/>
          <w:color w:val="auto"/>
          <w:szCs w:val="21"/>
          <w:lang w:val="en-US" w:eastAsia="zh-CN"/>
        </w:rPr>
        <w:t>支付上限同为</w:t>
      </w:r>
      <w:r>
        <w:rPr>
          <w:rFonts w:hint="eastAsia" w:ascii="宋体" w:hAnsi="宋体" w:eastAsia="宋体" w:cs="宋体"/>
          <w:color w:val="auto"/>
          <w:szCs w:val="21"/>
          <w:lang w:val="en-US" w:eastAsia="zh-CN"/>
        </w:rPr>
        <w:t>49.608万元</w:t>
      </w:r>
      <w:r>
        <w:rPr>
          <w:rFonts w:hint="eastAsia" w:ascii="宋体" w:hAnsi="宋体" w:cs="宋体"/>
          <w:color w:val="auto"/>
          <w:szCs w:val="21"/>
          <w:lang w:val="en-US" w:eastAsia="zh-CN"/>
        </w:rPr>
        <w:t>/年，采购人将按照中标单位分项报价表中“</w:t>
      </w:r>
      <w:r>
        <w:rPr>
          <w:rFonts w:hint="eastAsia" w:ascii="宋体" w:hAnsi="宋体" w:eastAsia="宋体" w:cs="宋体"/>
          <w:color w:val="auto"/>
          <w:szCs w:val="21"/>
          <w:lang w:val="en-US" w:eastAsia="zh-CN"/>
        </w:rPr>
        <w:t>运营服务费</w:t>
      </w:r>
      <w:r>
        <w:rPr>
          <w:rFonts w:hint="eastAsia" w:ascii="宋体" w:hAnsi="宋体" w:cs="宋体"/>
          <w:color w:val="auto"/>
          <w:szCs w:val="21"/>
          <w:lang w:val="en-US" w:eastAsia="zh-CN"/>
        </w:rPr>
        <w:t>”部分报价金额支付</w:t>
      </w:r>
      <w:r>
        <w:rPr>
          <w:rFonts w:hint="eastAsia" w:ascii="宋体" w:hAnsi="宋体"/>
          <w:color w:val="auto"/>
          <w:szCs w:val="21"/>
        </w:rPr>
        <w:t>第二年、第三年</w:t>
      </w:r>
      <w:r>
        <w:rPr>
          <w:rFonts w:hint="eastAsia" w:ascii="宋体" w:hAnsi="宋体"/>
          <w:color w:val="auto"/>
          <w:szCs w:val="21"/>
          <w:lang w:val="en-US" w:eastAsia="zh-CN"/>
        </w:rPr>
        <w:t>合同费用</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szCs w:val="21"/>
          <w:lang w:val="en-US" w:eastAsia="zh-CN"/>
        </w:rPr>
      </w:pPr>
      <w:r>
        <w:rPr>
          <w:rFonts w:hint="eastAsia" w:ascii="宋体" w:hAnsi="宋体"/>
          <w:b/>
          <w:bCs/>
          <w:szCs w:val="21"/>
          <w:lang w:eastAsia="zh-CN"/>
        </w:rPr>
        <w:t>（</w:t>
      </w:r>
      <w:r>
        <w:rPr>
          <w:rFonts w:hint="eastAsia" w:ascii="宋体" w:hAnsi="宋体"/>
          <w:b/>
          <w:bCs/>
          <w:szCs w:val="21"/>
          <w:lang w:val="en-US" w:eastAsia="zh-CN"/>
        </w:rPr>
        <w:t>五</w:t>
      </w:r>
      <w:r>
        <w:rPr>
          <w:rFonts w:hint="eastAsia" w:ascii="宋体" w:hAnsi="宋体"/>
          <w:b/>
          <w:bCs/>
          <w:szCs w:val="21"/>
          <w:lang w:eastAsia="zh-CN"/>
        </w:rPr>
        <w:t>）</w:t>
      </w:r>
      <w:r>
        <w:rPr>
          <w:rFonts w:hint="eastAsia" w:ascii="宋体" w:hAnsi="宋体"/>
          <w:b/>
          <w:bCs/>
          <w:szCs w:val="21"/>
          <w:lang w:val="en-US" w:eastAsia="zh-CN"/>
        </w:rPr>
        <w:t>验收方式（包含但不限于以下方式）：</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1、根据合同季度和年度进行相关考核验收评价；对考核不达标将根据合同约定处罚</w:t>
      </w:r>
      <w:r>
        <w:rPr>
          <w:rFonts w:hint="eastAsia" w:ascii="宋体" w:hAnsi="宋体"/>
          <w:szCs w:val="21"/>
          <w:lang w:eastAsia="zh-CN"/>
        </w:rPr>
        <w:t>；</w:t>
      </w:r>
    </w:p>
    <w:p>
      <w:pPr>
        <w:spacing w:line="360" w:lineRule="auto"/>
        <w:ind w:firstLine="420" w:firstLineChars="200"/>
        <w:jc w:val="left"/>
        <w:rPr>
          <w:rFonts w:hint="eastAsia" w:ascii="宋体" w:hAnsi="宋体"/>
          <w:szCs w:val="21"/>
        </w:rPr>
      </w:pPr>
      <w:r>
        <w:rPr>
          <w:rFonts w:hint="eastAsia" w:ascii="宋体" w:hAnsi="宋体"/>
          <w:szCs w:val="21"/>
        </w:rPr>
        <w:t>▲2、根据</w:t>
      </w:r>
      <w:r>
        <w:rPr>
          <w:rFonts w:hint="eastAsia" w:ascii="宋体" w:hAnsi="宋体"/>
          <w:szCs w:val="21"/>
          <w:lang w:eastAsia="zh-CN"/>
        </w:rPr>
        <w:t>采购人</w:t>
      </w:r>
      <w:r>
        <w:rPr>
          <w:rFonts w:hint="eastAsia" w:ascii="宋体" w:hAnsi="宋体"/>
          <w:szCs w:val="21"/>
        </w:rPr>
        <w:t>聘请的第三方检测机构对水质和废气检测结果验收考核；</w:t>
      </w:r>
    </w:p>
    <w:p>
      <w:pPr>
        <w:spacing w:line="360" w:lineRule="auto"/>
        <w:ind w:firstLine="420" w:firstLineChars="200"/>
        <w:jc w:val="left"/>
        <w:rPr>
          <w:rFonts w:hint="eastAsia" w:ascii="宋体" w:hAnsi="宋体"/>
          <w:szCs w:val="21"/>
        </w:rPr>
      </w:pPr>
      <w:r>
        <w:rPr>
          <w:rFonts w:hint="eastAsia" w:ascii="宋体" w:hAnsi="宋体"/>
          <w:szCs w:val="21"/>
        </w:rPr>
        <w:t>▲3、根据生态局和</w:t>
      </w:r>
      <w:r>
        <w:rPr>
          <w:rFonts w:hint="eastAsia" w:ascii="宋体" w:hAnsi="宋体"/>
          <w:szCs w:val="21"/>
          <w:lang w:eastAsia="zh-CN"/>
        </w:rPr>
        <w:t>采购人</w:t>
      </w:r>
      <w:r>
        <w:rPr>
          <w:rFonts w:hint="eastAsia" w:ascii="宋体" w:hAnsi="宋体"/>
          <w:szCs w:val="21"/>
        </w:rPr>
        <w:t>日常抽查结果考核验收；</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▲4、如因水质不达标或者发生责任事故，除责任</w:t>
      </w:r>
      <w:r>
        <w:rPr>
          <w:rFonts w:hint="eastAsia" w:ascii="宋体" w:hAnsi="宋体"/>
          <w:szCs w:val="21"/>
          <w:lang w:val="en-US" w:eastAsia="zh-CN"/>
        </w:rPr>
        <w:t>由</w:t>
      </w:r>
      <w:r>
        <w:rPr>
          <w:rFonts w:hint="eastAsia" w:ascii="宋体" w:hAnsi="宋体"/>
          <w:szCs w:val="21"/>
        </w:rPr>
        <w:t>服务单位负责以外，</w:t>
      </w:r>
      <w:r>
        <w:rPr>
          <w:rFonts w:hint="eastAsia" w:ascii="宋体" w:hAnsi="宋体"/>
          <w:szCs w:val="21"/>
          <w:lang w:eastAsia="zh-CN"/>
        </w:rPr>
        <w:t>采购人</w:t>
      </w:r>
      <w:r>
        <w:rPr>
          <w:rFonts w:hint="eastAsia" w:ascii="宋体" w:hAnsi="宋体"/>
          <w:szCs w:val="21"/>
        </w:rPr>
        <w:t>有权追究经济赔偿</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szCs w:val="21"/>
          <w:lang w:val="en-US" w:eastAsia="zh-CN"/>
        </w:rPr>
      </w:pPr>
      <w:r>
        <w:rPr>
          <w:rFonts w:hint="eastAsia" w:ascii="宋体" w:hAnsi="宋体"/>
          <w:b/>
          <w:bCs/>
          <w:szCs w:val="21"/>
          <w:lang w:eastAsia="zh-CN"/>
        </w:rPr>
        <w:t>（</w:t>
      </w:r>
      <w:r>
        <w:rPr>
          <w:rFonts w:hint="eastAsia" w:ascii="宋体" w:hAnsi="宋体"/>
          <w:b/>
          <w:bCs/>
          <w:szCs w:val="21"/>
          <w:lang w:val="en-US" w:eastAsia="zh-CN"/>
        </w:rPr>
        <w:t>六</w:t>
      </w:r>
      <w:r>
        <w:rPr>
          <w:rFonts w:hint="eastAsia" w:ascii="宋体" w:hAnsi="宋体"/>
          <w:b/>
          <w:bCs/>
          <w:szCs w:val="21"/>
          <w:lang w:eastAsia="zh-CN"/>
        </w:rPr>
        <w:t>）</w:t>
      </w:r>
      <w:r>
        <w:rPr>
          <w:rFonts w:hint="eastAsia" w:ascii="宋体" w:hAnsi="宋体"/>
          <w:b/>
          <w:bCs/>
          <w:szCs w:val="21"/>
          <w:lang w:val="en-US" w:eastAsia="zh-CN"/>
        </w:rPr>
        <w:t>其他：</w:t>
      </w:r>
    </w:p>
    <w:p>
      <w:pPr>
        <w:spacing w:line="360" w:lineRule="auto"/>
        <w:ind w:firstLine="420" w:firstLineChars="200"/>
        <w:jc w:val="left"/>
        <w:rPr>
          <w:rFonts w:hint="eastAsia" w:ascii="宋体" w:hAnsi="宋体"/>
          <w:szCs w:val="21"/>
        </w:rPr>
      </w:pPr>
      <w:r>
        <w:rPr>
          <w:rFonts w:hint="eastAsia" w:ascii="宋体" w:hAnsi="宋体"/>
          <w:szCs w:val="21"/>
        </w:rPr>
        <w:t>1、中标人不得将项目非法分包或转包给任何单位和个人。否则，采购人有权即刻终止合同，并要求中标人赔偿相应损失。</w:t>
      </w:r>
    </w:p>
    <w:p>
      <w:pPr>
        <w:spacing w:line="360" w:lineRule="auto"/>
        <w:ind w:firstLine="420" w:firstLineChars="200"/>
        <w:jc w:val="left"/>
        <w:rPr>
          <w:rFonts w:hint="eastAsia" w:ascii="宋体" w:hAnsi="宋体"/>
          <w:szCs w:val="21"/>
        </w:rPr>
      </w:pPr>
      <w:r>
        <w:rPr>
          <w:rFonts w:hint="eastAsia" w:ascii="宋体" w:hAnsi="宋体"/>
          <w:szCs w:val="21"/>
        </w:rPr>
        <w:t>2、投标人若认为招标文件的技术要求或其他要求有倾向性或不公正性，可在招标答疑阶段提出，以维护招标行为的公平、公正。</w:t>
      </w:r>
    </w:p>
    <w:p>
      <w:pPr>
        <w:spacing w:line="360" w:lineRule="auto"/>
        <w:ind w:firstLine="420" w:firstLineChars="200"/>
        <w:jc w:val="left"/>
        <w:rPr>
          <w:rFonts w:hint="eastAsia" w:ascii="宋体" w:hAnsi="宋体"/>
          <w:szCs w:val="21"/>
        </w:rPr>
      </w:pPr>
      <w:r>
        <w:rPr>
          <w:rFonts w:hint="eastAsia" w:ascii="宋体" w:hAnsi="宋体"/>
          <w:szCs w:val="21"/>
        </w:rPr>
        <w:t>3、投标人使用的标准必须是国际公认或国家、或地方政府颁布的同等或更高的标准，如投标人使用的标准低于上述标准,评标委员会将有权不予接受，投标人必须列表将明显的差异详细说明。</w:t>
      </w:r>
    </w:p>
    <w:p>
      <w:pPr>
        <w:spacing w:line="360" w:lineRule="auto"/>
        <w:ind w:firstLine="420" w:firstLineChars="200"/>
        <w:jc w:val="left"/>
        <w:rPr>
          <w:rFonts w:hint="eastAsia" w:ascii="宋体" w:hAnsi="宋体"/>
          <w:szCs w:val="21"/>
        </w:rPr>
      </w:pPr>
      <w:r>
        <w:rPr>
          <w:rFonts w:hint="eastAsia" w:ascii="宋体" w:hAnsi="宋体"/>
          <w:szCs w:val="21"/>
        </w:rPr>
        <w:t>4、投标人所提交的投标文件对技术参数和各项要求的响应应是列出具体内容。如果投标人只注明“符合”或“满足”，将被视为“不符合”，并可能严重影响评标结果。</w:t>
      </w:r>
    </w:p>
    <w:p>
      <w:pPr>
        <w:spacing w:line="360" w:lineRule="auto"/>
        <w:ind w:firstLine="420" w:firstLineChars="200"/>
        <w:jc w:val="left"/>
        <w:rPr>
          <w:rFonts w:hint="eastAsia" w:ascii="宋体" w:hAnsi="宋体"/>
          <w:szCs w:val="21"/>
        </w:rPr>
      </w:pPr>
      <w:r>
        <w:rPr>
          <w:rFonts w:hint="eastAsia" w:ascii="宋体" w:hAnsi="宋体"/>
          <w:szCs w:val="21"/>
        </w:rPr>
        <w:t>5、投标人提交伪造资质证书、合同文件等投标文件的，一经发现报政府采购主管部门按有关规定进行处理。</w:t>
      </w:r>
    </w:p>
    <w:p>
      <w:pPr>
        <w:spacing w:line="360" w:lineRule="auto"/>
        <w:ind w:firstLine="420" w:firstLineChars="200"/>
        <w:jc w:val="left"/>
        <w:rPr>
          <w:rFonts w:hint="eastAsia" w:ascii="宋体" w:hAnsi="宋体"/>
          <w:szCs w:val="21"/>
        </w:rPr>
      </w:pPr>
      <w:r>
        <w:rPr>
          <w:rFonts w:hint="eastAsia" w:ascii="宋体" w:hAnsi="宋体"/>
          <w:szCs w:val="21"/>
        </w:rPr>
        <w:t>6、服务单位应配备有相应岗位的应急服务人员，</w:t>
      </w:r>
      <w:r>
        <w:rPr>
          <w:rFonts w:hint="eastAsia" w:ascii="宋体" w:hAnsi="宋体"/>
          <w:szCs w:val="21"/>
          <w:lang w:eastAsia="zh-CN"/>
        </w:rPr>
        <w:t>采购人</w:t>
      </w:r>
      <w:r>
        <w:rPr>
          <w:rFonts w:hint="eastAsia" w:ascii="宋体" w:hAnsi="宋体"/>
          <w:szCs w:val="21"/>
        </w:rPr>
        <w:t>对日常驻点服务人员有监督、检查、不录用的权利，如因</w:t>
      </w:r>
      <w:r>
        <w:rPr>
          <w:rFonts w:hint="eastAsia" w:ascii="宋体" w:hAnsi="宋体"/>
          <w:szCs w:val="21"/>
          <w:lang w:eastAsia="zh-CN"/>
        </w:rPr>
        <w:t>采购人</w:t>
      </w:r>
      <w:r>
        <w:rPr>
          <w:rFonts w:hint="eastAsia" w:ascii="宋体" w:hAnsi="宋体"/>
          <w:szCs w:val="21"/>
        </w:rPr>
        <w:t>要更换服务人员，则服务单位应在6小时内派驻其他合格人员进行替换。</w:t>
      </w:r>
    </w:p>
    <w:p>
      <w:pPr>
        <w:spacing w:line="360" w:lineRule="auto"/>
        <w:ind w:firstLine="420" w:firstLineChars="200"/>
        <w:jc w:val="left"/>
        <w:rPr>
          <w:rFonts w:hint="eastAsia" w:ascii="宋体" w:hAnsi="宋体"/>
          <w:szCs w:val="21"/>
        </w:rPr>
      </w:pPr>
      <w:r>
        <w:rPr>
          <w:rFonts w:hint="eastAsia" w:ascii="宋体" w:hAnsi="宋体"/>
          <w:szCs w:val="21"/>
        </w:rPr>
        <w:t>7、中标人需要承担的其他主要责任与义务:</w:t>
      </w:r>
    </w:p>
    <w:p>
      <w:pPr>
        <w:spacing w:line="360" w:lineRule="auto"/>
        <w:ind w:firstLine="420" w:firstLineChars="200"/>
        <w:jc w:val="left"/>
        <w:rPr>
          <w:rFonts w:hint="eastAsia" w:ascii="宋体" w:hAnsi="宋体"/>
          <w:szCs w:val="21"/>
        </w:rPr>
      </w:pPr>
      <w:r>
        <w:rPr>
          <w:rFonts w:hint="eastAsia" w:ascii="宋体" w:hAnsi="宋体"/>
          <w:szCs w:val="21"/>
        </w:rPr>
        <w:t>1）、遵守法律和法规、政府有关规定以及与本项目有关的各种规定，根据行业规范和协议的条款，向采购人提供污水处理服务；</w:t>
      </w:r>
    </w:p>
    <w:p>
      <w:pPr>
        <w:spacing w:line="360" w:lineRule="auto"/>
        <w:ind w:firstLine="420" w:firstLineChars="200"/>
        <w:jc w:val="left"/>
        <w:rPr>
          <w:rFonts w:hint="eastAsia" w:ascii="宋体" w:hAnsi="宋体"/>
          <w:szCs w:val="21"/>
        </w:rPr>
      </w:pPr>
      <w:r>
        <w:rPr>
          <w:rFonts w:hint="eastAsia" w:ascii="宋体" w:hAnsi="宋体"/>
          <w:szCs w:val="21"/>
        </w:rPr>
        <w:t>2）、承担与环保部门相关业务对口联络事项，负责配合环保局有关部门组织的检查、抽样等工作，按环保相关单位要求提供相关资料，完善相关制度，按环保相关单位的整改要求做好各项工作；</w:t>
      </w:r>
    </w:p>
    <w:p>
      <w:pPr>
        <w:spacing w:line="360" w:lineRule="auto"/>
        <w:ind w:firstLine="420" w:firstLineChars="200"/>
        <w:jc w:val="left"/>
        <w:rPr>
          <w:rFonts w:hint="eastAsia" w:ascii="宋体" w:hAnsi="宋体"/>
          <w:szCs w:val="21"/>
        </w:rPr>
      </w:pPr>
      <w:r>
        <w:rPr>
          <w:rFonts w:hint="eastAsia" w:ascii="宋体" w:hAnsi="宋体"/>
          <w:szCs w:val="21"/>
        </w:rPr>
        <w:t>3）、派住人员必须持有相关上岗资质证明，并经采购人审核同意后方可上岗，相关资质证明需交采购人存档备案；</w:t>
      </w:r>
    </w:p>
    <w:p>
      <w:pPr>
        <w:spacing w:line="360" w:lineRule="auto"/>
        <w:ind w:firstLine="420" w:firstLineChars="200"/>
        <w:jc w:val="left"/>
        <w:rPr>
          <w:rFonts w:hint="eastAsia" w:ascii="宋体" w:hAnsi="宋体"/>
          <w:szCs w:val="21"/>
        </w:rPr>
      </w:pPr>
      <w:r>
        <w:rPr>
          <w:rFonts w:hint="eastAsia" w:ascii="宋体" w:hAnsi="宋体"/>
          <w:szCs w:val="21"/>
        </w:rPr>
        <w:t>4）、须按医院规定做好上岗人员的白名单管理，并接受采购人管理、监督与考核，严格遵守国家相关操作规程及各项规章制度，自觉维护公共设施；</w:t>
      </w:r>
    </w:p>
    <w:p>
      <w:pPr>
        <w:spacing w:line="360" w:lineRule="auto"/>
        <w:ind w:firstLine="420" w:firstLineChars="200"/>
        <w:jc w:val="left"/>
        <w:rPr>
          <w:rFonts w:hint="eastAsia" w:ascii="宋体" w:hAnsi="宋体"/>
          <w:szCs w:val="21"/>
        </w:rPr>
      </w:pPr>
      <w:r>
        <w:rPr>
          <w:rFonts w:hint="eastAsia" w:ascii="宋体" w:hAnsi="宋体"/>
          <w:szCs w:val="21"/>
        </w:rPr>
        <w:t>5）、派驻运营与维修人员必须保持24小时通讯畅通，休息日及法定节假日进行紧急或非紧急维护工作；</w:t>
      </w:r>
    </w:p>
    <w:p>
      <w:pPr>
        <w:spacing w:line="360" w:lineRule="auto"/>
        <w:ind w:firstLine="420" w:firstLineChars="200"/>
        <w:jc w:val="left"/>
        <w:rPr>
          <w:rFonts w:hint="eastAsia" w:ascii="宋体" w:hAnsi="宋体"/>
          <w:szCs w:val="21"/>
        </w:rPr>
      </w:pPr>
      <w:r>
        <w:rPr>
          <w:rFonts w:hint="eastAsia" w:ascii="宋体" w:hAnsi="宋体"/>
          <w:szCs w:val="21"/>
        </w:rPr>
        <w:t>6）、在服务过程中，因提供的设备、材料、药品、工具等原因造成的服务质量不合格，由中标人负全部责任，并承担返工费用及向采购人赔偿由此产生的一切经济损失；</w:t>
      </w:r>
    </w:p>
    <w:p>
      <w:pPr>
        <w:spacing w:line="360" w:lineRule="auto"/>
        <w:ind w:firstLine="420" w:firstLineChars="200"/>
        <w:jc w:val="left"/>
        <w:rPr>
          <w:rFonts w:hint="eastAsia" w:ascii="宋体" w:hAnsi="宋体"/>
          <w:szCs w:val="21"/>
        </w:rPr>
      </w:pPr>
      <w:r>
        <w:rPr>
          <w:rFonts w:hint="eastAsia" w:ascii="宋体" w:hAnsi="宋体"/>
          <w:szCs w:val="21"/>
        </w:rPr>
        <w:t>7）、负责维护的设备、设施在使用中出现异常状况，应在采购人指定的时间内提出有效的整改施工方案，并在取得采购人确认后组织实施；</w:t>
      </w:r>
    </w:p>
    <w:p>
      <w:pPr>
        <w:spacing w:line="360" w:lineRule="auto"/>
        <w:ind w:firstLine="420" w:firstLineChars="200"/>
        <w:jc w:val="left"/>
        <w:rPr>
          <w:rFonts w:hint="eastAsia" w:ascii="宋体" w:hAnsi="宋体"/>
          <w:szCs w:val="21"/>
        </w:rPr>
      </w:pPr>
      <w:r>
        <w:rPr>
          <w:rFonts w:hint="eastAsia" w:ascii="宋体" w:hAnsi="宋体"/>
          <w:szCs w:val="21"/>
        </w:rPr>
        <w:t>8）、应定期对每个运营人员进行安全教育，制定安全操作规范，做好安全防护措施；施工中应设立醒目安全标识，配带适宜的个人防护用品；在维护过程中所发生的全部行为及引发的安全问题均由中标人负责；</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9）、派驻现场的代表，不得随意更换，如需更换时，必须提前一个月书面知会并征得采购人同意</w:t>
      </w:r>
      <w:r>
        <w:rPr>
          <w:rFonts w:hint="eastAsia" w:ascii="宋体" w:hAnsi="宋体"/>
          <w:szCs w:val="21"/>
          <w:lang w:eastAsia="zh-CN"/>
        </w:rPr>
        <w:t>；</w:t>
      </w:r>
    </w:p>
    <w:p>
      <w:pPr>
        <w:spacing w:line="360" w:lineRule="auto"/>
        <w:ind w:firstLine="420" w:firstLineChars="200"/>
        <w:jc w:val="left"/>
        <w:rPr>
          <w:rFonts w:hint="eastAsia" w:ascii="宋体" w:hAnsi="宋体"/>
          <w:szCs w:val="21"/>
        </w:rPr>
      </w:pPr>
      <w:r>
        <w:rPr>
          <w:rFonts w:hint="eastAsia" w:ascii="宋体" w:hAnsi="宋体"/>
          <w:szCs w:val="21"/>
        </w:rPr>
        <w:t>10）、信息保密，任何涉及采购人内部信息与事项均属于保密范畴，未经采购人书面许可中标人不得对外发布与泄露。</w:t>
      </w:r>
    </w:p>
    <w:p>
      <w:pPr>
        <w:rPr>
          <w:sz w:val="21"/>
          <w:szCs w:val="21"/>
        </w:rPr>
      </w:pPr>
      <w:r>
        <w:rPr>
          <w:sz w:val="21"/>
          <w:szCs w:val="21"/>
        </w:rPr>
        <w:br w:type="page"/>
      </w:r>
    </w:p>
    <w:p>
      <w:pPr>
        <w:pStyle w:val="456"/>
        <w:spacing w:before="0" w:beforeAutospacing="0" w:after="0" w:afterAutospacing="0" w:line="360" w:lineRule="auto"/>
        <w:rPr>
          <w:sz w:val="21"/>
          <w:szCs w:val="21"/>
        </w:rPr>
      </w:pPr>
    </w:p>
    <w:p>
      <w:pPr>
        <w:pStyle w:val="3"/>
      </w:pPr>
      <w:bookmarkStart w:id="2" w:name="_Toc110410361"/>
      <w:r>
        <w:rPr>
          <w:rFonts w:hint="eastAsia"/>
        </w:rPr>
        <w:t>第三章  投标文件初审</w:t>
      </w:r>
      <w:bookmarkEnd w:id="2"/>
    </w:p>
    <w:p>
      <w:pPr>
        <w:autoSpaceDE w:val="0"/>
        <w:autoSpaceDN w:val="0"/>
        <w:adjustRightInd w:val="0"/>
        <w:spacing w:line="360" w:lineRule="auto"/>
        <w:ind w:firstLine="480" w:firstLineChars="200"/>
        <w:jc w:val="left"/>
        <w:rPr>
          <w:rFonts w:ascii="仿宋_GB2312" w:eastAsia="仿宋_GB2312"/>
          <w:sz w:val="24"/>
        </w:rPr>
      </w:pP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rPr>
          <w:snapToGrid w:val="0"/>
          <w:kern w:val="0"/>
        </w:rPr>
      </w:pPr>
    </w:p>
    <w:p>
      <w:pPr>
        <w:adjustRightInd w:val="0"/>
        <w:spacing w:line="360" w:lineRule="auto"/>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rPr>
          <w:rFonts w:ascii="宋体" w:hAnsi="宋体"/>
          <w:snapToGrid w:val="0"/>
          <w:kern w:val="0"/>
        </w:rPr>
      </w:pPr>
    </w:p>
    <w:p>
      <w:pPr>
        <w:adjustRightInd w:val="0"/>
        <w:spacing w:line="360" w:lineRule="auto"/>
        <w:rPr>
          <w:rFonts w:ascii="宋体" w:hAnsi="宋体"/>
          <w:snapToGrid w:val="0"/>
          <w:kern w:val="0"/>
        </w:rPr>
      </w:pPr>
      <w:r>
        <w:rPr>
          <w:rFonts w:hint="eastAsia" w:ascii="宋体" w:hAnsi="宋体"/>
          <w:snapToGrid w:val="0"/>
          <w:kern w:val="0"/>
        </w:rPr>
        <w:t>二、符合性审查</w:t>
      </w:r>
    </w:p>
    <w:p>
      <w:pPr>
        <w:adjustRightInd w:val="0"/>
        <w:spacing w:line="360" w:lineRule="auto"/>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left="283" w:hanging="283" w:hangingChars="135"/>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rPr>
          <w:rFonts w:ascii="宋体" w:hAnsi="宋体"/>
          <w:snapToGrid w:val="0"/>
          <w:kern w:val="0"/>
        </w:rPr>
      </w:pPr>
      <w:r>
        <w:rPr>
          <w:rFonts w:hint="eastAsia" w:ascii="宋体" w:hAnsi="宋体"/>
          <w:snapToGrid w:val="0"/>
          <w:kern w:val="0"/>
        </w:rPr>
        <w:t>6、投标报价有严重缺漏项的。</w:t>
      </w:r>
    </w:p>
    <w:p>
      <w:pPr>
        <w:adjustRightInd w:val="0"/>
        <w:spacing w:line="360" w:lineRule="auto"/>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rPr>
          <w:rFonts w:ascii="宋体" w:hAnsi="宋体"/>
          <w:snapToGrid w:val="0"/>
          <w:kern w:val="0"/>
        </w:rPr>
      </w:pPr>
      <w:r>
        <w:rPr>
          <w:rFonts w:hint="eastAsia" w:ascii="宋体" w:hAnsi="宋体"/>
          <w:snapToGrid w:val="0"/>
          <w:kern w:val="0"/>
        </w:rPr>
        <w:t>9、将一个项目包拆分投标，对同一货物及服务投标时，同时提供两套或以上的投标方案。</w:t>
      </w:r>
    </w:p>
    <w:p>
      <w:pPr>
        <w:adjustRightInd w:val="0"/>
        <w:spacing w:line="360" w:lineRule="auto"/>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rPr>
          <w:rFonts w:ascii="宋体" w:hAnsi="宋体"/>
          <w:snapToGrid w:val="0"/>
          <w:kern w:val="0"/>
        </w:rPr>
      </w:pPr>
      <w:r>
        <w:rPr>
          <w:rFonts w:hint="eastAsia" w:ascii="宋体" w:hAnsi="宋体"/>
          <w:snapToGrid w:val="0"/>
          <w:kern w:val="0"/>
        </w:rPr>
        <w:t>13、法律法规规定的其它情形。</w:t>
      </w:r>
    </w:p>
    <w:p/>
    <w:p/>
    <w:p/>
    <w:p>
      <w:pPr>
        <w:widowControl/>
        <w:jc w:val="left"/>
      </w:pPr>
      <w:r>
        <w:br w:type="page"/>
      </w:r>
    </w:p>
    <w:p/>
    <w:p>
      <w:pPr>
        <w:pStyle w:val="3"/>
        <w:spacing w:after="0"/>
      </w:pPr>
      <w:bookmarkStart w:id="3" w:name="_Toc110410362"/>
      <w:r>
        <w:rPr>
          <w:rFonts w:hint="eastAsia"/>
        </w:rPr>
        <w:t>第四章  评标方法和标准</w:t>
      </w:r>
      <w:bookmarkEnd w:id="3"/>
    </w:p>
    <w:p/>
    <w:p>
      <w:pPr>
        <w:pStyle w:val="5"/>
        <w:spacing w:before="0" w:after="0"/>
      </w:pPr>
      <w:bookmarkStart w:id="4" w:name="_Toc44690702"/>
      <w:bookmarkStart w:id="5" w:name="_Toc44690429"/>
      <w:bookmarkStart w:id="6" w:name="_Toc110410363"/>
      <w:bookmarkStart w:id="7" w:name="_Toc44691161"/>
      <w:bookmarkStart w:id="8" w:name="_Toc44691393"/>
      <w:r>
        <w:rPr>
          <w:rFonts w:hint="eastAsia"/>
        </w:rPr>
        <w:t>一、</w:t>
      </w:r>
      <w:r>
        <w:t>评标方法</w:t>
      </w:r>
      <w:bookmarkEnd w:id="4"/>
      <w:bookmarkEnd w:id="5"/>
      <w:bookmarkEnd w:id="6"/>
      <w:bookmarkEnd w:id="7"/>
      <w:bookmarkEnd w:id="8"/>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综合评分法，是指投标文件满足招标文件全部实质性要求，且按照评审因素的量化指标评审得分最高的投标人为中标候选人的评标方法。</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3、中标人及中标候选人数量：</w:t>
      </w:r>
      <w:r>
        <w:rPr>
          <w:rFonts w:hint="eastAsia" w:cs="仿宋" w:asciiTheme="minorEastAsia" w:hAnsiTheme="minorEastAsia" w:eastAsiaTheme="minorEastAsia"/>
          <w:kern w:val="2"/>
          <w:sz w:val="21"/>
          <w:szCs w:val="21"/>
        </w:rPr>
        <w:t>中标人数量：1名，中标候选人数量：1名。</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排名，具体操作办法及流程由评标委员会确定。</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5、推荐中标候选人：</w:t>
      </w:r>
    </w:p>
    <w:p>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作为中标候选人。</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6、确定中标人：</w:t>
      </w:r>
    </w:p>
    <w:p>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非评定分离项目：采购人在评标报告确定的中标候选人名单中按顺序确定1名中标人。</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5"/>
        <w:spacing w:before="0" w:after="0"/>
      </w:pPr>
      <w:bookmarkStart w:id="9" w:name="_Toc1104103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评标委员会按照以下量化的评审因素，对各投标文件进行分析和比较：</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pStyle w:val="45"/>
              <w:spacing w:before="0" w:beforeAutospacing="0" w:after="0" w:afterAutospacing="0" w:line="360" w:lineRule="exact"/>
              <w:ind w:left="420" w:hanging="420"/>
              <w:rPr>
                <w:rFonts w:cs="仿宋"/>
                <w:b/>
                <w:bCs/>
                <w:sz w:val="21"/>
                <w:szCs w:val="21"/>
              </w:rPr>
            </w:pPr>
            <w:r>
              <w:rPr>
                <w:rFonts w:hint="eastAsia" w:cs="仿宋" w:asciiTheme="minorEastAsia" w:hAnsiTheme="minorEastAsia" w:eastAsiaTheme="minorEastAsia"/>
                <w:kern w:val="2"/>
                <w:sz w:val="21"/>
                <w:szCs w:val="21"/>
              </w:rPr>
              <w:t>价格分采用低价优先法计算，计算公式如下：</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投标报价得分 = Z/Sn ×权重</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 xml:space="preserve">当价格分＜0时，取0。 </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其中：</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 xml:space="preserve">Z </w:t>
            </w:r>
            <w:r>
              <w:rPr>
                <w:rFonts w:hint="eastAsia" w:cs="仿宋" w:asciiTheme="minorEastAsia" w:hAnsiTheme="minorEastAsia" w:eastAsiaTheme="minorEastAsia"/>
                <w:sz w:val="21"/>
                <w:szCs w:val="21"/>
              </w:rPr>
              <w:t>----</w:t>
            </w:r>
            <w:r>
              <w:rPr>
                <w:rFonts w:hint="eastAsia" w:cs="仿宋" w:asciiTheme="minorEastAsia" w:hAnsiTheme="minorEastAsia" w:eastAsiaTheme="minorEastAsia"/>
                <w:kern w:val="2"/>
                <w:sz w:val="21"/>
                <w:szCs w:val="21"/>
              </w:rPr>
              <w:t>评标基准价，即通过资格性审查和符合性审查且投标价格最低的投标报价。</w:t>
            </w:r>
          </w:p>
          <w:p>
            <w:pPr>
              <w:autoSpaceDE w:val="0"/>
              <w:autoSpaceDN w:val="0"/>
              <w:adjustRightInd w:val="0"/>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Sn ---投标报价，即通过资格性审查和符合性审查的投标报价。</w:t>
            </w:r>
          </w:p>
          <w:p>
            <w:pPr>
              <w:autoSpaceDE w:val="0"/>
              <w:autoSpaceDN w:val="0"/>
              <w:adjustRightInd w:val="0"/>
              <w:spacing w:line="360" w:lineRule="exact"/>
              <w:jc w:val="left"/>
              <w:rPr>
                <w:rFonts w:ascii="宋体" w:hAnsi="宋体"/>
                <w:b/>
                <w:bCs/>
                <w:snapToGrid w:val="0"/>
                <w:kern w:val="0"/>
              </w:rPr>
            </w:pPr>
            <w:r>
              <w:rPr>
                <w:rFonts w:hint="eastAsia" w:ascii="宋体" w:hAnsi="宋体"/>
                <w:b/>
                <w:snapToGrid w:val="0"/>
                <w:kern w:val="0"/>
                <w:szCs w:val="21"/>
              </w:rPr>
              <w:t>注：对于符合 “</w:t>
            </w:r>
            <w:r>
              <w:rPr>
                <w:rFonts w:hint="eastAsia" w:ascii="宋体" w:hAnsi="宋体"/>
                <w:b/>
                <w:snapToGrid w:val="0"/>
                <w:kern w:val="0"/>
              </w:rPr>
              <w:t>政府采购扶持政策</w:t>
            </w:r>
            <w:r>
              <w:rPr>
                <w:rFonts w:hint="eastAsia" w:ascii="宋体" w:hAnsi="宋体"/>
                <w:b/>
                <w:bCs/>
                <w:snapToGrid w:val="0"/>
                <w:kern w:val="0"/>
              </w:rPr>
              <w:t>”的小微企业、监狱企业和残疾人福利性单位，以调整后的价格计算评标基准价和投标报价。</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highlight w:val="none"/>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0"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pPr>
              <w:widowControl/>
              <w:spacing w:line="360" w:lineRule="exact"/>
              <w:jc w:val="center"/>
              <w:rPr>
                <w:rFonts w:ascii="宋体" w:hAnsi="宋体"/>
                <w:kern w:val="0"/>
                <w:szCs w:val="21"/>
              </w:rPr>
            </w:pPr>
            <w:r>
              <w:rPr>
                <w:rFonts w:hint="eastAsia" w:ascii="宋体" w:hAnsi="宋体" w:cs="宋体"/>
                <w:szCs w:val="21"/>
              </w:rPr>
              <w:t>服务方案</w:t>
            </w:r>
          </w:p>
        </w:tc>
        <w:tc>
          <w:tcPr>
            <w:tcW w:w="709" w:type="dxa"/>
            <w:vAlign w:val="center"/>
          </w:tcPr>
          <w:p>
            <w:pPr>
              <w:widowControl/>
              <w:spacing w:line="360" w:lineRule="exact"/>
              <w:jc w:val="center"/>
              <w:rPr>
                <w:rFonts w:ascii="宋体" w:hAnsi="宋体"/>
                <w:kern w:val="0"/>
                <w:szCs w:val="21"/>
              </w:rPr>
            </w:pPr>
            <w:r>
              <w:rPr>
                <w:rFonts w:hint="eastAsia" w:ascii="宋体" w:hAnsi="宋体" w:cs="宋体"/>
                <w:kern w:val="0"/>
                <w:szCs w:val="21"/>
              </w:rPr>
              <w:t>10</w:t>
            </w:r>
          </w:p>
        </w:tc>
        <w:tc>
          <w:tcPr>
            <w:tcW w:w="5953" w:type="dxa"/>
            <w:vAlign w:val="center"/>
          </w:tcPr>
          <w:p>
            <w:pPr>
              <w:pStyle w:val="94"/>
              <w:spacing w:line="360" w:lineRule="exact"/>
              <w:ind w:firstLine="0" w:firstLineChars="0"/>
              <w:rPr>
                <w:rFonts w:ascii="宋体" w:hAnsi="宋体"/>
                <w:kern w:val="0"/>
                <w:szCs w:val="21"/>
              </w:rPr>
            </w:pPr>
            <w:r>
              <w:rPr>
                <w:rFonts w:hint="eastAsia" w:ascii="宋体" w:hAnsi="宋体"/>
                <w:kern w:val="0"/>
                <w:szCs w:val="21"/>
              </w:rPr>
              <w:t>（一）评审内容：</w:t>
            </w:r>
          </w:p>
          <w:p>
            <w:pPr>
              <w:pStyle w:val="94"/>
              <w:spacing w:line="360" w:lineRule="exact"/>
              <w:ind w:firstLine="0" w:firstLineChars="0"/>
              <w:rPr>
                <w:rFonts w:ascii="宋体" w:hAnsi="宋体"/>
                <w:kern w:val="0"/>
                <w:szCs w:val="21"/>
              </w:rPr>
            </w:pPr>
            <w:r>
              <w:rPr>
                <w:rFonts w:hint="eastAsia" w:ascii="宋体" w:hAnsi="宋体"/>
                <w:kern w:val="0"/>
                <w:szCs w:val="21"/>
              </w:rPr>
              <w:t>针对服务项目的特点和要求，并对项目施工组织，人力资源安排、岗位职责制度建设，服务目标，管理制度，突发故障处理，安全管理，考察投标人对采购方污水站现有设备熟悉程度以及日常操作、维护保养等方面制定切合本项目的服务方案，保证采购人的系统及设备正常运行。</w:t>
            </w:r>
          </w:p>
          <w:p>
            <w:pPr>
              <w:pStyle w:val="94"/>
              <w:spacing w:line="360" w:lineRule="exact"/>
              <w:ind w:firstLine="0" w:firstLineChars="0"/>
              <w:rPr>
                <w:rFonts w:hint="eastAsia" w:ascii="宋体" w:hAnsi="宋体"/>
                <w:kern w:val="0"/>
                <w:szCs w:val="21"/>
              </w:rPr>
            </w:pPr>
          </w:p>
          <w:p>
            <w:pPr>
              <w:pStyle w:val="94"/>
              <w:spacing w:line="360" w:lineRule="exact"/>
              <w:ind w:firstLine="0" w:firstLineChars="0"/>
              <w:rPr>
                <w:rFonts w:ascii="宋体" w:hAnsi="宋体"/>
                <w:kern w:val="0"/>
                <w:szCs w:val="21"/>
              </w:rPr>
            </w:pPr>
            <w:r>
              <w:rPr>
                <w:rFonts w:hint="eastAsia" w:ascii="宋体" w:hAnsi="宋体"/>
                <w:kern w:val="0"/>
                <w:szCs w:val="21"/>
              </w:rPr>
              <w:t>（二）评审依据</w:t>
            </w:r>
          </w:p>
          <w:p>
            <w:pPr>
              <w:pStyle w:val="94"/>
              <w:spacing w:line="360" w:lineRule="exact"/>
              <w:ind w:firstLine="0" w:firstLineChars="0"/>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1</w:t>
            </w:r>
            <w:r>
              <w:rPr>
                <w:rFonts w:hint="eastAsia" w:ascii="宋体" w:hAnsi="宋体"/>
                <w:kern w:val="0"/>
                <w:szCs w:val="21"/>
                <w:lang w:eastAsia="zh-CN"/>
              </w:rPr>
              <w:t>）</w:t>
            </w:r>
            <w:r>
              <w:rPr>
                <w:rFonts w:hint="eastAsia" w:ascii="宋体" w:hAnsi="宋体"/>
                <w:kern w:val="0"/>
                <w:szCs w:val="21"/>
              </w:rPr>
              <w:t>项目施工组织</w:t>
            </w:r>
            <w:r>
              <w:rPr>
                <w:rFonts w:hint="eastAsia" w:ascii="宋体" w:hAnsi="宋体"/>
                <w:kern w:val="0"/>
                <w:szCs w:val="21"/>
                <w:lang w:eastAsia="zh-CN"/>
              </w:rPr>
              <w:t>响应</w:t>
            </w:r>
            <w:r>
              <w:rPr>
                <w:rFonts w:hint="eastAsia" w:ascii="宋体" w:hAnsi="宋体"/>
                <w:kern w:val="0"/>
                <w:szCs w:val="21"/>
              </w:rPr>
              <w:t>内容全面；</w:t>
            </w:r>
          </w:p>
          <w:p>
            <w:pPr>
              <w:pStyle w:val="94"/>
              <w:spacing w:line="360" w:lineRule="exact"/>
              <w:ind w:firstLine="0" w:firstLineChars="0"/>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rPr>
              <w:t>人力资源安排、岗位职责制度建设</w:t>
            </w:r>
            <w:r>
              <w:rPr>
                <w:rFonts w:hint="eastAsia" w:ascii="宋体" w:hAnsi="宋体"/>
                <w:kern w:val="0"/>
                <w:szCs w:val="21"/>
                <w:lang w:eastAsia="zh-CN"/>
              </w:rPr>
              <w:t>响应</w:t>
            </w:r>
            <w:r>
              <w:rPr>
                <w:rFonts w:hint="eastAsia" w:ascii="宋体" w:hAnsi="宋体"/>
                <w:kern w:val="0"/>
                <w:szCs w:val="21"/>
              </w:rPr>
              <w:t>内容具体；</w:t>
            </w:r>
          </w:p>
          <w:p>
            <w:pPr>
              <w:pStyle w:val="94"/>
              <w:spacing w:line="360" w:lineRule="exact"/>
              <w:ind w:firstLine="0" w:firstLineChars="0"/>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3</w:t>
            </w:r>
            <w:r>
              <w:rPr>
                <w:rFonts w:hint="eastAsia" w:ascii="宋体" w:hAnsi="宋体"/>
                <w:kern w:val="0"/>
                <w:szCs w:val="21"/>
                <w:lang w:eastAsia="zh-CN"/>
              </w:rPr>
              <w:t>）</w:t>
            </w:r>
            <w:r>
              <w:rPr>
                <w:rFonts w:hint="eastAsia" w:ascii="宋体" w:hAnsi="宋体"/>
                <w:kern w:val="0"/>
                <w:szCs w:val="21"/>
              </w:rPr>
              <w:t>服务目标</w:t>
            </w:r>
            <w:r>
              <w:rPr>
                <w:rFonts w:hint="eastAsia" w:ascii="宋体" w:hAnsi="宋体"/>
                <w:kern w:val="0"/>
                <w:szCs w:val="21"/>
                <w:lang w:eastAsia="zh-CN"/>
              </w:rPr>
              <w:t>响应</w:t>
            </w:r>
            <w:r>
              <w:rPr>
                <w:rFonts w:hint="eastAsia" w:ascii="宋体" w:hAnsi="宋体"/>
                <w:kern w:val="0"/>
                <w:szCs w:val="21"/>
              </w:rPr>
              <w:t>内容针对性强；</w:t>
            </w:r>
          </w:p>
          <w:p>
            <w:pPr>
              <w:pStyle w:val="94"/>
              <w:spacing w:line="360" w:lineRule="exact"/>
              <w:ind w:firstLine="0" w:firstLineChars="0"/>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4</w:t>
            </w:r>
            <w:r>
              <w:rPr>
                <w:rFonts w:hint="eastAsia" w:ascii="宋体" w:hAnsi="宋体"/>
                <w:kern w:val="0"/>
                <w:szCs w:val="21"/>
                <w:lang w:eastAsia="zh-CN"/>
              </w:rPr>
              <w:t>）</w:t>
            </w:r>
            <w:r>
              <w:rPr>
                <w:rFonts w:hint="eastAsia" w:ascii="宋体" w:hAnsi="宋体"/>
                <w:kern w:val="0"/>
                <w:szCs w:val="21"/>
              </w:rPr>
              <w:t>管理制度</w:t>
            </w:r>
            <w:r>
              <w:rPr>
                <w:rFonts w:hint="eastAsia" w:ascii="宋体" w:hAnsi="宋体"/>
                <w:kern w:val="0"/>
                <w:szCs w:val="21"/>
                <w:lang w:eastAsia="zh-CN"/>
              </w:rPr>
              <w:t>、</w:t>
            </w:r>
            <w:r>
              <w:rPr>
                <w:rFonts w:hint="eastAsia" w:ascii="宋体" w:hAnsi="宋体"/>
                <w:kern w:val="0"/>
                <w:szCs w:val="21"/>
              </w:rPr>
              <w:t>安全管理</w:t>
            </w:r>
            <w:r>
              <w:rPr>
                <w:rFonts w:hint="eastAsia" w:ascii="宋体" w:hAnsi="宋体"/>
                <w:kern w:val="0"/>
                <w:szCs w:val="21"/>
                <w:lang w:eastAsia="zh-CN"/>
              </w:rPr>
              <w:t>响应</w:t>
            </w:r>
            <w:r>
              <w:rPr>
                <w:rFonts w:hint="eastAsia" w:ascii="宋体" w:hAnsi="宋体"/>
                <w:kern w:val="0"/>
                <w:szCs w:val="21"/>
              </w:rPr>
              <w:t>内容科学合理；</w:t>
            </w:r>
          </w:p>
          <w:p>
            <w:pPr>
              <w:pStyle w:val="94"/>
              <w:spacing w:line="360" w:lineRule="exact"/>
              <w:ind w:firstLine="0" w:firstLineChars="0"/>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5</w:t>
            </w:r>
            <w:r>
              <w:rPr>
                <w:rFonts w:hint="eastAsia" w:ascii="宋体" w:hAnsi="宋体"/>
                <w:kern w:val="0"/>
                <w:szCs w:val="21"/>
                <w:lang w:eastAsia="zh-CN"/>
              </w:rPr>
              <w:t>）</w:t>
            </w:r>
            <w:r>
              <w:rPr>
                <w:rFonts w:hint="eastAsia" w:ascii="宋体" w:hAnsi="宋体"/>
                <w:kern w:val="0"/>
                <w:szCs w:val="21"/>
              </w:rPr>
              <w:t>突发故障处理</w:t>
            </w:r>
            <w:r>
              <w:rPr>
                <w:rFonts w:hint="eastAsia" w:ascii="宋体" w:hAnsi="宋体"/>
                <w:kern w:val="0"/>
                <w:szCs w:val="21"/>
                <w:lang w:eastAsia="zh-CN"/>
              </w:rPr>
              <w:t>响应</w:t>
            </w:r>
            <w:r>
              <w:rPr>
                <w:rFonts w:hint="eastAsia" w:ascii="宋体" w:hAnsi="宋体"/>
                <w:kern w:val="0"/>
                <w:szCs w:val="21"/>
              </w:rPr>
              <w:t>内容可操作性强。</w:t>
            </w:r>
          </w:p>
          <w:p>
            <w:pPr>
              <w:pStyle w:val="94"/>
              <w:spacing w:line="360" w:lineRule="exact"/>
              <w:ind w:firstLine="0" w:firstLineChars="0"/>
              <w:rPr>
                <w:rFonts w:ascii="宋体" w:hAnsi="宋体"/>
                <w:kern w:val="0"/>
                <w:szCs w:val="21"/>
              </w:rPr>
            </w:pPr>
            <w:r>
              <w:rPr>
                <w:rFonts w:hint="eastAsia" w:ascii="宋体" w:hAnsi="宋体"/>
                <w:kern w:val="0"/>
                <w:szCs w:val="21"/>
              </w:rPr>
              <w:t>满足以上</w:t>
            </w:r>
            <w:r>
              <w:rPr>
                <w:rFonts w:hint="eastAsia" w:ascii="宋体" w:hAnsi="宋体"/>
                <w:kern w:val="0"/>
                <w:szCs w:val="21"/>
                <w:lang w:val="en-US" w:eastAsia="zh-CN"/>
              </w:rPr>
              <w:t>五</w:t>
            </w:r>
            <w:r>
              <w:rPr>
                <w:rFonts w:hint="eastAsia" w:ascii="宋体" w:hAnsi="宋体"/>
                <w:kern w:val="0"/>
                <w:szCs w:val="21"/>
              </w:rPr>
              <w:t>项要求的得</w:t>
            </w:r>
            <w:r>
              <w:rPr>
                <w:rFonts w:hint="eastAsia" w:ascii="宋体" w:hAnsi="宋体"/>
                <w:kern w:val="0"/>
                <w:szCs w:val="21"/>
                <w:lang w:val="en-US" w:eastAsia="zh-CN"/>
              </w:rPr>
              <w:t>10</w:t>
            </w:r>
            <w:r>
              <w:rPr>
                <w:rFonts w:hint="eastAsia" w:ascii="宋体" w:hAnsi="宋体"/>
                <w:kern w:val="0"/>
                <w:szCs w:val="21"/>
              </w:rPr>
              <w:t>分，满足其中</w:t>
            </w:r>
            <w:r>
              <w:rPr>
                <w:rFonts w:hint="eastAsia" w:ascii="宋体" w:hAnsi="宋体"/>
                <w:kern w:val="0"/>
                <w:szCs w:val="21"/>
                <w:lang w:val="en-US" w:eastAsia="zh-CN"/>
              </w:rPr>
              <w:t>四</w:t>
            </w:r>
            <w:r>
              <w:rPr>
                <w:rFonts w:hint="eastAsia" w:ascii="宋体" w:hAnsi="宋体"/>
                <w:kern w:val="0"/>
                <w:szCs w:val="21"/>
              </w:rPr>
              <w:t>项要求的得</w:t>
            </w:r>
            <w:r>
              <w:rPr>
                <w:rFonts w:hint="eastAsia" w:ascii="宋体" w:hAnsi="宋体"/>
                <w:kern w:val="0"/>
                <w:szCs w:val="21"/>
                <w:lang w:val="en-US" w:eastAsia="zh-CN"/>
              </w:rPr>
              <w:t>8</w:t>
            </w:r>
            <w:r>
              <w:rPr>
                <w:rFonts w:hint="eastAsia" w:ascii="宋体" w:hAnsi="宋体"/>
                <w:kern w:val="0"/>
                <w:szCs w:val="21"/>
              </w:rPr>
              <w:t>分，满足其中</w:t>
            </w:r>
            <w:r>
              <w:rPr>
                <w:rFonts w:hint="eastAsia" w:ascii="宋体" w:hAnsi="宋体"/>
                <w:kern w:val="0"/>
                <w:szCs w:val="21"/>
                <w:lang w:val="en-US" w:eastAsia="zh-CN"/>
              </w:rPr>
              <w:t>三</w:t>
            </w:r>
            <w:r>
              <w:rPr>
                <w:rFonts w:hint="eastAsia" w:ascii="宋体" w:hAnsi="宋体"/>
                <w:kern w:val="0"/>
                <w:szCs w:val="21"/>
              </w:rPr>
              <w:t>项要求的得</w:t>
            </w:r>
            <w:r>
              <w:rPr>
                <w:rFonts w:hint="eastAsia" w:ascii="宋体" w:hAnsi="宋体"/>
                <w:kern w:val="0"/>
                <w:szCs w:val="21"/>
                <w:lang w:val="en-US" w:eastAsia="zh-CN"/>
              </w:rPr>
              <w:t>6</w:t>
            </w:r>
            <w:r>
              <w:rPr>
                <w:rFonts w:hint="eastAsia" w:ascii="宋体" w:hAnsi="宋体"/>
                <w:kern w:val="0"/>
                <w:szCs w:val="21"/>
              </w:rPr>
              <w:t>分，满足其中</w:t>
            </w:r>
            <w:r>
              <w:rPr>
                <w:rFonts w:hint="eastAsia" w:ascii="宋体" w:hAnsi="宋体"/>
                <w:kern w:val="0"/>
                <w:szCs w:val="21"/>
                <w:lang w:val="en-US" w:eastAsia="zh-CN"/>
              </w:rPr>
              <w:t>二</w:t>
            </w:r>
            <w:r>
              <w:rPr>
                <w:rFonts w:hint="eastAsia" w:ascii="宋体" w:hAnsi="宋体"/>
                <w:kern w:val="0"/>
                <w:szCs w:val="21"/>
              </w:rPr>
              <w:t>项要求的得</w:t>
            </w:r>
            <w:r>
              <w:rPr>
                <w:rFonts w:hint="eastAsia" w:ascii="宋体" w:hAnsi="宋体"/>
                <w:kern w:val="0"/>
                <w:szCs w:val="21"/>
                <w:lang w:val="en-US" w:eastAsia="zh-CN"/>
              </w:rPr>
              <w:t>4</w:t>
            </w:r>
            <w:r>
              <w:rPr>
                <w:rFonts w:hint="eastAsia" w:ascii="宋体" w:hAnsi="宋体"/>
                <w:kern w:val="0"/>
                <w:szCs w:val="21"/>
              </w:rPr>
              <w:t>分</w:t>
            </w:r>
            <w:r>
              <w:rPr>
                <w:rFonts w:hint="eastAsia" w:ascii="宋体" w:hAnsi="宋体"/>
                <w:kern w:val="0"/>
                <w:szCs w:val="21"/>
                <w:lang w:eastAsia="zh-CN"/>
              </w:rPr>
              <w:t>，</w:t>
            </w:r>
            <w:r>
              <w:rPr>
                <w:rFonts w:hint="eastAsia" w:ascii="宋体" w:hAnsi="宋体"/>
                <w:kern w:val="0"/>
                <w:szCs w:val="21"/>
              </w:rPr>
              <w:t>其他情况不得分。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1"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pPr>
              <w:widowControl/>
              <w:spacing w:line="360" w:lineRule="exact"/>
              <w:jc w:val="center"/>
              <w:rPr>
                <w:rFonts w:ascii="宋体" w:hAnsi="宋体"/>
                <w:kern w:val="0"/>
                <w:szCs w:val="21"/>
              </w:rPr>
            </w:pPr>
            <w:r>
              <w:rPr>
                <w:rFonts w:hint="eastAsia" w:ascii="宋体" w:hAnsi="宋体"/>
                <w:kern w:val="0"/>
                <w:szCs w:val="21"/>
              </w:rPr>
              <w:t>对本项目重难点分析</w:t>
            </w:r>
          </w:p>
        </w:tc>
        <w:tc>
          <w:tcPr>
            <w:tcW w:w="709" w:type="dxa"/>
            <w:vAlign w:val="center"/>
          </w:tcPr>
          <w:p>
            <w:pPr>
              <w:widowControl/>
              <w:spacing w:line="360" w:lineRule="exact"/>
              <w:jc w:val="center"/>
              <w:rPr>
                <w:rFonts w:hint="default" w:ascii="宋体" w:hAnsi="宋体" w:eastAsia="宋体"/>
                <w:kern w:val="0"/>
                <w:szCs w:val="21"/>
                <w:lang w:val="en-US" w:eastAsia="zh-CN"/>
              </w:rPr>
            </w:pPr>
            <w:r>
              <w:rPr>
                <w:rFonts w:hint="eastAsia" w:ascii="宋体" w:hAnsi="宋体"/>
                <w:szCs w:val="21"/>
                <w:lang w:val="en-US" w:eastAsia="zh-CN"/>
              </w:rPr>
              <w:t>10</w:t>
            </w:r>
          </w:p>
        </w:tc>
        <w:tc>
          <w:tcPr>
            <w:tcW w:w="5953" w:type="dxa"/>
            <w:vAlign w:val="center"/>
          </w:tcPr>
          <w:p>
            <w:pPr>
              <w:pStyle w:val="94"/>
              <w:spacing w:line="360" w:lineRule="exact"/>
              <w:ind w:firstLine="0" w:firstLineChars="0"/>
              <w:rPr>
                <w:rFonts w:ascii="宋体" w:hAnsi="宋体"/>
                <w:szCs w:val="21"/>
              </w:rPr>
            </w:pPr>
            <w:r>
              <w:rPr>
                <w:rFonts w:hint="eastAsia" w:ascii="宋体" w:hAnsi="宋体"/>
                <w:szCs w:val="21"/>
              </w:rPr>
              <w:t>（一）评分内容：</w:t>
            </w:r>
          </w:p>
          <w:p>
            <w:pPr>
              <w:autoSpaceDE w:val="0"/>
              <w:autoSpaceDN w:val="0"/>
              <w:adjustRightInd w:val="0"/>
              <w:spacing w:line="360" w:lineRule="exact"/>
              <w:rPr>
                <w:rFonts w:ascii="宋体" w:hAnsi="宋体" w:cs="宋体"/>
                <w:szCs w:val="21"/>
              </w:rPr>
            </w:pPr>
            <w:r>
              <w:rPr>
                <w:rFonts w:hint="eastAsia" w:ascii="宋体" w:hAnsi="宋体" w:cs="宋体"/>
                <w:szCs w:val="21"/>
                <w:lang w:val="en-US" w:eastAsia="zh-CN"/>
              </w:rPr>
              <w:t>考察</w:t>
            </w:r>
            <w:r>
              <w:rPr>
                <w:rFonts w:hint="eastAsia" w:ascii="宋体" w:hAnsi="宋体" w:cs="宋体"/>
                <w:szCs w:val="21"/>
              </w:rPr>
              <w:t>投标人对项目重点难点分析清楚明确，制定合理有效应对措施并提出相关合理化建议进行评审。</w:t>
            </w:r>
          </w:p>
          <w:p>
            <w:pPr>
              <w:widowControl/>
              <w:snapToGrid w:val="0"/>
              <w:spacing w:line="360" w:lineRule="exact"/>
              <w:jc w:val="left"/>
              <w:rPr>
                <w:rFonts w:hint="eastAsia" w:ascii="宋体" w:hAnsi="宋体"/>
                <w:kern w:val="0"/>
                <w:szCs w:val="21"/>
              </w:rPr>
            </w:pPr>
          </w:p>
          <w:p>
            <w:pPr>
              <w:widowControl/>
              <w:snapToGrid w:val="0"/>
              <w:spacing w:line="360" w:lineRule="exact"/>
              <w:jc w:val="left"/>
              <w:rPr>
                <w:rFonts w:ascii="宋体" w:hAnsi="宋体"/>
                <w:kern w:val="0"/>
                <w:szCs w:val="21"/>
              </w:rPr>
            </w:pPr>
            <w:r>
              <w:rPr>
                <w:rFonts w:hint="eastAsia" w:ascii="宋体" w:hAnsi="宋体"/>
                <w:kern w:val="0"/>
                <w:szCs w:val="21"/>
              </w:rPr>
              <w:t>（二）评分标准：</w:t>
            </w:r>
          </w:p>
          <w:p>
            <w:pPr>
              <w:widowControl/>
              <w:snapToGrid w:val="0"/>
              <w:spacing w:line="360" w:lineRule="exact"/>
              <w:jc w:val="left"/>
              <w:rPr>
                <w:rFonts w:ascii="宋体" w:hAnsi="宋体"/>
                <w:kern w:val="0"/>
                <w:szCs w:val="21"/>
              </w:rPr>
            </w:pPr>
            <w:r>
              <w:rPr>
                <w:rFonts w:hint="eastAsia" w:ascii="宋体" w:hAnsi="宋体"/>
                <w:kern w:val="0"/>
                <w:szCs w:val="21"/>
              </w:rPr>
              <w:t>（1）对项目重点难点分析全面、清晰到位；</w:t>
            </w:r>
          </w:p>
          <w:p>
            <w:pPr>
              <w:widowControl/>
              <w:snapToGrid w:val="0"/>
              <w:spacing w:line="360" w:lineRule="exact"/>
              <w:jc w:val="left"/>
              <w:rPr>
                <w:rFonts w:ascii="宋体" w:hAnsi="宋体"/>
                <w:kern w:val="0"/>
                <w:szCs w:val="21"/>
              </w:rPr>
            </w:pPr>
            <w:r>
              <w:rPr>
                <w:rFonts w:hint="eastAsia" w:ascii="宋体" w:hAnsi="宋体"/>
                <w:kern w:val="0"/>
                <w:szCs w:val="21"/>
              </w:rPr>
              <w:t>（2）能针对项目重点难点逐项提出应对措施及相关的合理化建议；</w:t>
            </w:r>
          </w:p>
          <w:p>
            <w:pPr>
              <w:widowControl/>
              <w:snapToGrid w:val="0"/>
              <w:spacing w:line="360" w:lineRule="exact"/>
              <w:jc w:val="left"/>
              <w:rPr>
                <w:rFonts w:ascii="宋体" w:hAnsi="宋体"/>
                <w:kern w:val="0"/>
                <w:szCs w:val="21"/>
              </w:rPr>
            </w:pPr>
            <w:r>
              <w:rPr>
                <w:rFonts w:hint="eastAsia" w:ascii="宋体" w:hAnsi="宋体"/>
                <w:kern w:val="0"/>
                <w:szCs w:val="21"/>
              </w:rPr>
              <w:t>（3）应对措施针对性强、可操作性强；</w:t>
            </w:r>
          </w:p>
          <w:p>
            <w:pPr>
              <w:widowControl/>
              <w:snapToGrid w:val="0"/>
              <w:spacing w:line="360" w:lineRule="exact"/>
              <w:jc w:val="left"/>
              <w:rPr>
                <w:rFonts w:ascii="宋体" w:hAnsi="宋体"/>
                <w:kern w:val="0"/>
                <w:szCs w:val="21"/>
              </w:rPr>
            </w:pPr>
            <w:r>
              <w:rPr>
                <w:rFonts w:hint="eastAsia" w:ascii="宋体" w:hAnsi="宋体"/>
                <w:kern w:val="0"/>
                <w:szCs w:val="21"/>
              </w:rPr>
              <w:t>（4）相关的合理化建议可实施性强。</w:t>
            </w:r>
          </w:p>
          <w:p>
            <w:pPr>
              <w:autoSpaceDE w:val="0"/>
              <w:autoSpaceDN w:val="0"/>
              <w:adjustRightInd w:val="0"/>
              <w:spacing w:line="360" w:lineRule="exact"/>
              <w:rPr>
                <w:rFonts w:ascii="宋体" w:hAnsi="宋体" w:cs="宋体"/>
                <w:szCs w:val="21"/>
              </w:rPr>
            </w:pPr>
            <w:r>
              <w:rPr>
                <w:rFonts w:hint="eastAsia"/>
              </w:rPr>
              <w:t>满足以</w:t>
            </w:r>
            <w:r>
              <w:rPr>
                <w:rFonts w:hint="eastAsia" w:asciiTheme="minorEastAsia" w:hAnsiTheme="minorEastAsia" w:eastAsiaTheme="minorEastAsia"/>
              </w:rPr>
              <w:t>上四项要求的得</w:t>
            </w:r>
            <w:r>
              <w:rPr>
                <w:rFonts w:hint="eastAsia" w:asciiTheme="minorEastAsia" w:hAnsiTheme="minorEastAsia" w:eastAsiaTheme="minorEastAsia"/>
                <w:lang w:val="en-US" w:eastAsia="zh-CN"/>
              </w:rPr>
              <w:t>10</w:t>
            </w:r>
            <w:r>
              <w:rPr>
                <w:rFonts w:hint="eastAsia" w:asciiTheme="minorEastAsia" w:hAnsiTheme="minorEastAsia" w:eastAsiaTheme="minorEastAsia"/>
              </w:rPr>
              <w:t>分，满足其中三项要求的得</w:t>
            </w:r>
            <w:r>
              <w:rPr>
                <w:rFonts w:hint="eastAsia" w:asciiTheme="minorEastAsia" w:hAnsiTheme="minorEastAsia" w:eastAsiaTheme="minorEastAsia"/>
                <w:lang w:val="en-US" w:eastAsia="zh-CN"/>
              </w:rPr>
              <w:t>6</w:t>
            </w:r>
            <w:r>
              <w:rPr>
                <w:rFonts w:hint="eastAsia" w:asciiTheme="minorEastAsia" w:hAnsiTheme="minorEastAsia" w:eastAsiaTheme="minorEastAsia"/>
              </w:rPr>
              <w:t>分，满足其中二项要求的得</w:t>
            </w:r>
            <w:r>
              <w:rPr>
                <w:rFonts w:hint="eastAsia" w:asciiTheme="minorEastAsia" w:hAnsiTheme="minorEastAsia" w:eastAsiaTheme="minorEastAsia"/>
                <w:lang w:val="en-US" w:eastAsia="zh-CN"/>
              </w:rPr>
              <w:t>3</w:t>
            </w:r>
            <w:r>
              <w:rPr>
                <w:rFonts w:hint="eastAsia" w:asciiTheme="minorEastAsia" w:hAnsiTheme="minorEastAsia" w:eastAsiaTheme="minorEastAsia"/>
              </w:rPr>
              <w:t>分，其他情况不得分。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napToGrid w:val="0"/>
              <w:spacing w:line="360" w:lineRule="exact"/>
              <w:jc w:val="center"/>
              <w:rPr>
                <w:rFonts w:hint="eastAsia" w:ascii="宋体" w:hAnsi="宋体" w:eastAsia="宋体" w:cs="宋体"/>
                <w:kern w:val="0"/>
                <w:szCs w:val="21"/>
                <w:lang w:eastAsia="zh-CN"/>
              </w:rPr>
            </w:pPr>
            <w:r>
              <w:rPr>
                <w:rFonts w:hint="eastAsia" w:ascii="宋体" w:hAnsi="宋体"/>
                <w:kern w:val="0"/>
                <w:szCs w:val="21"/>
                <w:lang w:val="en-US" w:eastAsia="zh-CN"/>
              </w:rPr>
              <w:t>3</w:t>
            </w:r>
          </w:p>
        </w:tc>
        <w:tc>
          <w:tcPr>
            <w:tcW w:w="1143" w:type="dxa"/>
            <w:vAlign w:val="center"/>
          </w:tcPr>
          <w:p>
            <w:pPr>
              <w:widowControl/>
              <w:spacing w:line="360" w:lineRule="exact"/>
              <w:jc w:val="center"/>
              <w:rPr>
                <w:rFonts w:ascii="宋体" w:hAnsi="宋体" w:cs="宋体"/>
                <w:szCs w:val="21"/>
              </w:rPr>
            </w:pPr>
            <w:r>
              <w:rPr>
                <w:rFonts w:hint="eastAsia" w:ascii="宋体" w:hAnsi="宋体" w:cs="宋体"/>
                <w:szCs w:val="21"/>
              </w:rPr>
              <w:t>突发事件处理（应急措施）</w:t>
            </w:r>
          </w:p>
        </w:tc>
        <w:tc>
          <w:tcPr>
            <w:tcW w:w="709" w:type="dxa"/>
            <w:vAlign w:val="center"/>
          </w:tcPr>
          <w:p>
            <w:pPr>
              <w:widowControl/>
              <w:spacing w:line="36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5953" w:type="dxa"/>
            <w:vAlign w:val="center"/>
          </w:tcPr>
          <w:p>
            <w:pPr>
              <w:pStyle w:val="94"/>
              <w:spacing w:line="360" w:lineRule="exact"/>
              <w:ind w:firstLine="0" w:firstLineChars="0"/>
              <w:rPr>
                <w:rFonts w:ascii="宋体" w:hAnsi="宋体"/>
                <w:szCs w:val="21"/>
              </w:rPr>
            </w:pPr>
            <w:r>
              <w:rPr>
                <w:rFonts w:hint="eastAsia" w:ascii="宋体" w:hAnsi="宋体"/>
                <w:szCs w:val="21"/>
              </w:rPr>
              <w:t>（一）评分内容：</w:t>
            </w:r>
          </w:p>
          <w:p>
            <w:pPr>
              <w:autoSpaceDE w:val="0"/>
              <w:autoSpaceDN w:val="0"/>
              <w:adjustRightInd w:val="0"/>
              <w:spacing w:line="360" w:lineRule="exact"/>
              <w:rPr>
                <w:rFonts w:hint="eastAsia" w:ascii="宋体" w:hAnsi="宋体" w:eastAsia="宋体" w:cs="宋体"/>
                <w:szCs w:val="21"/>
                <w:lang w:val="en-US" w:eastAsia="zh-CN"/>
              </w:rPr>
            </w:pPr>
            <w:r>
              <w:rPr>
                <w:rFonts w:hint="eastAsia" w:ascii="宋体" w:hAnsi="宋体" w:cs="宋体"/>
                <w:szCs w:val="21"/>
                <w:lang w:val="en-US" w:eastAsia="zh-CN"/>
              </w:rPr>
              <w:t>考察</w:t>
            </w:r>
            <w:r>
              <w:rPr>
                <w:rFonts w:hint="eastAsia" w:ascii="宋体" w:hAnsi="宋体" w:cs="宋体"/>
                <w:szCs w:val="21"/>
              </w:rPr>
              <w:t>投标人对各种突发事件处理方案等情况进行评价，包括水质超标、危化品泄漏、系统故障、有限空间作业等相关内容的应急演练方案、应急处理措施、应急响应机制等情况进行</w:t>
            </w:r>
            <w:r>
              <w:rPr>
                <w:rFonts w:hint="eastAsia" w:ascii="宋体" w:hAnsi="宋体" w:cs="宋体"/>
                <w:szCs w:val="21"/>
                <w:lang w:val="en-US" w:eastAsia="zh-CN"/>
              </w:rPr>
              <w:t>评审。</w:t>
            </w:r>
          </w:p>
          <w:p>
            <w:pPr>
              <w:autoSpaceDE w:val="0"/>
              <w:autoSpaceDN w:val="0"/>
              <w:adjustRightInd w:val="0"/>
              <w:spacing w:line="360" w:lineRule="exact"/>
              <w:jc w:val="left"/>
              <w:rPr>
                <w:rFonts w:hint="eastAsia" w:ascii="宋体" w:hAnsi="宋体"/>
                <w:kern w:val="0"/>
                <w:szCs w:val="21"/>
              </w:rPr>
            </w:pP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pPr>
              <w:autoSpaceDE w:val="0"/>
              <w:autoSpaceDN w:val="0"/>
              <w:adjustRightInd w:val="0"/>
              <w:spacing w:line="360" w:lineRule="exact"/>
              <w:rPr>
                <w:rFonts w:hint="eastAsia" w:ascii="宋体" w:hAnsi="宋体" w:cs="宋体"/>
                <w:szCs w:val="21"/>
              </w:rPr>
            </w:pPr>
            <w:r>
              <w:rPr>
                <w:rFonts w:hint="eastAsia" w:ascii="宋体" w:hAnsi="宋体" w:cs="宋体"/>
                <w:szCs w:val="21"/>
              </w:rPr>
              <w:t>（1) 具有应急演练方案；</w:t>
            </w:r>
          </w:p>
          <w:p>
            <w:pPr>
              <w:autoSpaceDE w:val="0"/>
              <w:autoSpaceDN w:val="0"/>
              <w:adjustRightInd w:val="0"/>
              <w:spacing w:line="360" w:lineRule="exact"/>
              <w:rPr>
                <w:rFonts w:hint="eastAsia" w:ascii="宋体" w:hAnsi="宋体" w:cs="宋体"/>
                <w:szCs w:val="21"/>
              </w:rPr>
            </w:pPr>
            <w:r>
              <w:rPr>
                <w:rFonts w:hint="eastAsia" w:ascii="宋体" w:hAnsi="宋体" w:cs="宋体"/>
                <w:szCs w:val="21"/>
              </w:rPr>
              <w:t>（2）具有应急处理措施；</w:t>
            </w:r>
          </w:p>
          <w:p>
            <w:pPr>
              <w:autoSpaceDE w:val="0"/>
              <w:autoSpaceDN w:val="0"/>
              <w:adjustRightInd w:val="0"/>
              <w:spacing w:line="360" w:lineRule="exact"/>
              <w:rPr>
                <w:rFonts w:hint="eastAsia" w:ascii="宋体" w:hAnsi="宋体" w:eastAsia="宋体" w:cs="宋体"/>
                <w:szCs w:val="21"/>
                <w:lang w:eastAsia="zh-CN"/>
              </w:rPr>
            </w:pPr>
            <w:r>
              <w:rPr>
                <w:rFonts w:hint="eastAsia" w:ascii="宋体" w:hAnsi="宋体" w:cs="宋体"/>
                <w:szCs w:val="21"/>
              </w:rPr>
              <w:t>（3）具有应急响应机制</w:t>
            </w:r>
            <w:r>
              <w:rPr>
                <w:rFonts w:hint="eastAsia" w:ascii="宋体" w:hAnsi="宋体" w:cs="宋体"/>
                <w:szCs w:val="21"/>
                <w:lang w:eastAsia="zh-CN"/>
              </w:rPr>
              <w:t>。</w:t>
            </w:r>
          </w:p>
          <w:p>
            <w:pPr>
              <w:autoSpaceDE w:val="0"/>
              <w:autoSpaceDN w:val="0"/>
              <w:adjustRightInd w:val="0"/>
              <w:spacing w:line="360" w:lineRule="exact"/>
              <w:rPr>
                <w:rFonts w:ascii="宋体" w:hAnsi="宋体" w:cs="宋体"/>
                <w:szCs w:val="21"/>
              </w:rPr>
            </w:pPr>
            <w:r>
              <w:rPr>
                <w:rFonts w:hint="eastAsia" w:ascii="宋体" w:hAnsi="宋体" w:cs="宋体"/>
                <w:szCs w:val="21"/>
              </w:rPr>
              <w:t>满足以上三项要求的得5分；满足以上二项要求的评价得3分；满足任意一点得1分；未满足不得分；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pPr>
              <w:widowControl/>
              <w:snapToGrid w:val="0"/>
              <w:spacing w:line="360" w:lineRule="exact"/>
              <w:jc w:val="center"/>
              <w:rPr>
                <w:rFonts w:hint="eastAsia" w:ascii="宋体" w:hAnsi="宋体" w:eastAsia="宋体" w:cs="宋体"/>
                <w:kern w:val="0"/>
                <w:szCs w:val="21"/>
                <w:lang w:eastAsia="zh-CN"/>
              </w:rPr>
            </w:pPr>
            <w:r>
              <w:rPr>
                <w:rFonts w:hint="eastAsia" w:ascii="宋体" w:hAnsi="宋体"/>
                <w:kern w:val="0"/>
                <w:szCs w:val="21"/>
                <w:lang w:val="en-US" w:eastAsia="zh-CN"/>
              </w:rPr>
              <w:t>4</w:t>
            </w:r>
          </w:p>
        </w:tc>
        <w:tc>
          <w:tcPr>
            <w:tcW w:w="1143" w:type="dxa"/>
            <w:vAlign w:val="center"/>
          </w:tcPr>
          <w:p>
            <w:pPr>
              <w:widowControl/>
              <w:spacing w:line="360" w:lineRule="exact"/>
              <w:jc w:val="center"/>
              <w:rPr>
                <w:rFonts w:ascii="宋体" w:hAnsi="宋体" w:cs="宋体"/>
                <w:szCs w:val="21"/>
              </w:rPr>
            </w:pPr>
            <w:r>
              <w:rPr>
                <w:rFonts w:hint="eastAsia" w:ascii="宋体" w:hAnsi="宋体" w:cs="宋体"/>
                <w:szCs w:val="21"/>
              </w:rPr>
              <w:t>服务要求偏离表响应程度</w:t>
            </w:r>
          </w:p>
        </w:tc>
        <w:tc>
          <w:tcPr>
            <w:tcW w:w="709" w:type="dxa"/>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5953" w:type="dxa"/>
            <w:vAlign w:val="center"/>
          </w:tcPr>
          <w:p>
            <w:pPr>
              <w:autoSpaceDE w:val="0"/>
              <w:autoSpaceDN w:val="0"/>
              <w:adjustRightInd w:val="0"/>
              <w:spacing w:line="360" w:lineRule="exact"/>
              <w:rPr>
                <w:rFonts w:ascii="宋体" w:hAnsi="宋体" w:cs="宋体"/>
                <w:szCs w:val="21"/>
              </w:rPr>
            </w:pPr>
            <w:r>
              <w:rPr>
                <w:rFonts w:hint="eastAsia" w:ascii="宋体" w:hAnsi="宋体"/>
                <w:szCs w:val="21"/>
              </w:rPr>
              <w:t>（一）评分内容：</w:t>
            </w:r>
          </w:p>
          <w:p>
            <w:pPr>
              <w:autoSpaceDE w:val="0"/>
              <w:autoSpaceDN w:val="0"/>
              <w:adjustRightInd w:val="0"/>
              <w:spacing w:line="360" w:lineRule="exact"/>
              <w:rPr>
                <w:rFonts w:ascii="宋体" w:hAnsi="宋体" w:cs="宋体"/>
                <w:szCs w:val="21"/>
              </w:rPr>
            </w:pPr>
            <w:r>
              <w:rPr>
                <w:rFonts w:hint="eastAsia" w:ascii="宋体" w:hAnsi="宋体" w:cs="宋体"/>
                <w:szCs w:val="21"/>
              </w:rPr>
              <w:t>投标人应如实填写《偏离表》，各项“▲”服务要求全部满足的，得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每负偏离一项扣</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最低0分。</w:t>
            </w:r>
          </w:p>
          <w:p>
            <w:pPr>
              <w:autoSpaceDE w:val="0"/>
              <w:autoSpaceDN w:val="0"/>
              <w:adjustRightInd w:val="0"/>
              <w:spacing w:line="360" w:lineRule="exact"/>
              <w:rPr>
                <w:rFonts w:hint="eastAsia" w:ascii="宋体" w:hAnsi="宋体" w:eastAsia="宋体" w:cs="宋体"/>
                <w:szCs w:val="21"/>
                <w:lang w:val="en-US" w:eastAsia="zh-CN"/>
              </w:rPr>
            </w:pPr>
            <w:r>
              <w:rPr>
                <w:rFonts w:hint="eastAsia" w:ascii="宋体" w:hAnsi="宋体" w:cs="宋体"/>
                <w:b/>
                <w:bCs/>
                <w:color w:val="FF0000"/>
                <w:szCs w:val="21"/>
                <w:highlight w:val="none"/>
                <w:lang w:val="en-US" w:eastAsia="zh-CN"/>
              </w:rPr>
              <w:t>注：如</w:t>
            </w: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服务要求有细分项，扣分按细分项条数算。</w:t>
            </w:r>
          </w:p>
          <w:p>
            <w:pPr>
              <w:autoSpaceDE w:val="0"/>
              <w:autoSpaceDN w:val="0"/>
              <w:adjustRightInd w:val="0"/>
              <w:spacing w:line="360" w:lineRule="exact"/>
              <w:rPr>
                <w:rFonts w:hint="eastAsia" w:ascii="宋体" w:hAnsi="宋体"/>
                <w:kern w:val="0"/>
                <w:szCs w:val="21"/>
              </w:rPr>
            </w:pPr>
          </w:p>
          <w:p>
            <w:pPr>
              <w:autoSpaceDE w:val="0"/>
              <w:autoSpaceDN w:val="0"/>
              <w:adjustRightInd w:val="0"/>
              <w:spacing w:line="360" w:lineRule="exact"/>
              <w:rPr>
                <w:rFonts w:hint="eastAsia" w:ascii="宋体" w:hAnsi="宋体"/>
                <w:kern w:val="0"/>
                <w:szCs w:val="21"/>
              </w:rPr>
            </w:pPr>
            <w:r>
              <w:rPr>
                <w:rFonts w:hint="eastAsia" w:ascii="宋体" w:hAnsi="宋体"/>
                <w:kern w:val="0"/>
                <w:szCs w:val="21"/>
              </w:rPr>
              <w:t>（二）评分依据：</w:t>
            </w:r>
          </w:p>
          <w:p>
            <w:pPr>
              <w:autoSpaceDE w:val="0"/>
              <w:autoSpaceDN w:val="0"/>
              <w:adjustRightInd w:val="0"/>
              <w:spacing w:line="360" w:lineRule="exact"/>
              <w:rPr>
                <w:rFonts w:ascii="宋体" w:hAnsi="宋体" w:cs="宋体"/>
                <w:szCs w:val="21"/>
              </w:rPr>
            </w:pPr>
            <w:r>
              <w:rPr>
                <w:rFonts w:hint="eastAsia" w:ascii="宋体" w:hAnsi="宋体" w:cs="宋体"/>
                <w:szCs w:val="21"/>
              </w:rPr>
              <w:t>以投标文件《偏离表》为评分依据，投标人按招标文件要求提供相应的证明材料</w:t>
            </w:r>
            <w:r>
              <w:rPr>
                <w:rFonts w:hint="eastAsia" w:ascii="宋体" w:hAnsi="宋体" w:cs="宋体"/>
                <w:szCs w:val="21"/>
                <w:lang w:eastAsia="zh-CN"/>
              </w:rPr>
              <w:t>（</w:t>
            </w:r>
            <w:r>
              <w:rPr>
                <w:rFonts w:hint="eastAsia" w:ascii="宋体" w:hAnsi="宋体" w:cs="宋体"/>
                <w:szCs w:val="21"/>
                <w:lang w:val="en-US" w:eastAsia="zh-CN"/>
              </w:rPr>
              <w:t>如有要求提供</w:t>
            </w:r>
            <w:r>
              <w:rPr>
                <w:rFonts w:hint="eastAsia" w:ascii="宋体" w:hAnsi="宋体" w:cs="宋体"/>
                <w:szCs w:val="21"/>
                <w:lang w:eastAsia="zh-CN"/>
              </w:rPr>
              <w:t>）</w:t>
            </w:r>
            <w:r>
              <w:rPr>
                <w:rFonts w:hint="eastAsia" w:ascii="宋体" w:hAnsi="宋体" w:cs="宋体"/>
                <w:szCs w:val="21"/>
              </w:rPr>
              <w:t>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服务条款按负偏离处理。对于不同服务要求中的相同项不满足时按一项不满足进行扣分，不对某一项服务要求重复扣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highlight w:val="none"/>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pPr>
              <w:spacing w:line="360" w:lineRule="exact"/>
              <w:jc w:val="center"/>
              <w:rPr>
                <w:rFonts w:ascii="宋体" w:hAnsi="宋体"/>
                <w:kern w:val="0"/>
                <w:szCs w:val="21"/>
              </w:rPr>
            </w:pPr>
            <w:r>
              <w:rPr>
                <w:rFonts w:hint="eastAsia" w:ascii="宋体" w:hAnsi="宋体" w:cs="宋体"/>
                <w:color w:val="000000"/>
                <w:kern w:val="0"/>
                <w:szCs w:val="21"/>
              </w:rPr>
              <w:t>投标人体系认证情况</w:t>
            </w:r>
          </w:p>
        </w:tc>
        <w:tc>
          <w:tcPr>
            <w:tcW w:w="709" w:type="dxa"/>
            <w:vAlign w:val="center"/>
          </w:tcPr>
          <w:p>
            <w:pPr>
              <w:spacing w:line="360" w:lineRule="exact"/>
              <w:jc w:val="center"/>
              <w:rPr>
                <w:rFonts w:hint="default" w:ascii="宋体" w:hAnsi="宋体" w:eastAsia="宋体"/>
                <w:kern w:val="0"/>
                <w:szCs w:val="21"/>
                <w:lang w:val="en-US" w:eastAsia="zh-CN"/>
              </w:rPr>
            </w:pPr>
            <w:r>
              <w:rPr>
                <w:rFonts w:hint="eastAsia" w:ascii="宋体" w:hAnsi="宋体" w:cs="宋体"/>
                <w:szCs w:val="21"/>
                <w:lang w:val="en-US" w:eastAsia="zh-CN"/>
              </w:rPr>
              <w:t>10</w:t>
            </w:r>
          </w:p>
        </w:tc>
        <w:tc>
          <w:tcPr>
            <w:tcW w:w="5953" w:type="dxa"/>
            <w:vAlign w:val="center"/>
          </w:tcPr>
          <w:p>
            <w:pPr>
              <w:pStyle w:val="94"/>
              <w:spacing w:line="360" w:lineRule="exact"/>
              <w:ind w:firstLine="0" w:firstLineChars="0"/>
              <w:rPr>
                <w:rFonts w:ascii="宋体" w:hAnsi="宋体"/>
                <w:szCs w:val="21"/>
              </w:rPr>
            </w:pPr>
            <w:r>
              <w:rPr>
                <w:rFonts w:hint="eastAsia" w:ascii="宋体" w:hAnsi="宋体"/>
                <w:szCs w:val="21"/>
              </w:rPr>
              <w:t>（一）评分内容：</w:t>
            </w:r>
          </w:p>
          <w:p>
            <w:pPr>
              <w:autoSpaceDE w:val="0"/>
              <w:autoSpaceDN w:val="0"/>
              <w:adjustRightInd w:val="0"/>
              <w:spacing w:line="360" w:lineRule="exact"/>
              <w:jc w:val="left"/>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1</w:t>
            </w:r>
            <w:r>
              <w:rPr>
                <w:rFonts w:hint="eastAsia" w:ascii="宋体" w:hAnsi="宋体"/>
                <w:kern w:val="0"/>
                <w:szCs w:val="21"/>
                <w:lang w:eastAsia="zh-CN"/>
              </w:rPr>
              <w:t>）投标人具有有效的“质量管理体系认证”、 “职业健康安全管理体系认证证书”、 “环境管理体系认证证书”</w:t>
            </w:r>
            <w:r>
              <w:rPr>
                <w:rFonts w:hint="eastAsia" w:ascii="宋体" w:hAnsi="宋体"/>
                <w:kern w:val="0"/>
                <w:szCs w:val="21"/>
                <w:lang w:val="en-US" w:eastAsia="zh-CN"/>
              </w:rPr>
              <w:t>的，</w:t>
            </w:r>
            <w:r>
              <w:rPr>
                <w:rFonts w:hint="eastAsia" w:ascii="宋体" w:hAnsi="宋体"/>
                <w:kern w:val="0"/>
                <w:szCs w:val="21"/>
                <w:lang w:eastAsia="zh-CN"/>
              </w:rPr>
              <w:t>（</w:t>
            </w:r>
            <w:r>
              <w:rPr>
                <w:rFonts w:hint="eastAsia" w:ascii="宋体" w:hAnsi="宋体"/>
                <w:kern w:val="0"/>
                <w:szCs w:val="21"/>
                <w:lang w:val="en-US" w:eastAsia="zh-CN"/>
              </w:rPr>
              <w:t>以上认证证书的</w:t>
            </w:r>
            <w:r>
              <w:rPr>
                <w:rFonts w:hint="eastAsia" w:ascii="宋体" w:hAnsi="宋体"/>
                <w:kern w:val="0"/>
                <w:szCs w:val="21"/>
                <w:lang w:eastAsia="zh-CN"/>
              </w:rPr>
              <w:t>认证范围需包含:环境治理设施运营和环保工程施工），</w:t>
            </w:r>
            <w:r>
              <w:rPr>
                <w:rFonts w:hint="eastAsia" w:ascii="宋体" w:hAnsi="宋体"/>
                <w:kern w:val="0"/>
                <w:szCs w:val="21"/>
                <w:lang w:val="en-US" w:eastAsia="zh-CN"/>
              </w:rPr>
              <w:t>每提供一个认证书得2分，最高得6分；</w:t>
            </w:r>
          </w:p>
          <w:p>
            <w:pPr>
              <w:autoSpaceDE w:val="0"/>
              <w:autoSpaceDN w:val="0"/>
              <w:adjustRightInd w:val="0"/>
              <w:spacing w:line="360" w:lineRule="exact"/>
              <w:jc w:val="left"/>
              <w:rPr>
                <w:rFonts w:hint="default" w:ascii="宋体" w:hAnsi="宋体" w:eastAsia="宋体"/>
                <w:kern w:val="0"/>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lang w:val="en-US" w:eastAsia="zh-CN"/>
              </w:rPr>
              <w:t>投标人具有</w:t>
            </w:r>
            <w:r>
              <w:rPr>
                <w:rFonts w:hint="eastAsia" w:ascii="宋体" w:hAnsi="宋体"/>
                <w:kern w:val="0"/>
                <w:szCs w:val="21"/>
                <w:lang w:eastAsia="zh-CN"/>
              </w:rPr>
              <w:t>环境保护工程技术能力评价证书</w:t>
            </w:r>
            <w:r>
              <w:rPr>
                <w:rFonts w:hint="eastAsia" w:ascii="宋体" w:hAnsi="宋体"/>
                <w:color w:val="auto"/>
                <w:kern w:val="0"/>
                <w:szCs w:val="21"/>
                <w:lang w:eastAsia="zh-CN"/>
              </w:rPr>
              <w:t>（</w:t>
            </w:r>
            <w:r>
              <w:rPr>
                <w:rFonts w:hint="eastAsia" w:ascii="宋体" w:hAnsi="宋体"/>
                <w:color w:val="auto"/>
                <w:kern w:val="0"/>
                <w:szCs w:val="21"/>
                <w:lang w:val="en-US" w:eastAsia="zh-CN"/>
              </w:rPr>
              <w:t>评价内容函废水、废气</w:t>
            </w:r>
            <w:r>
              <w:rPr>
                <w:rFonts w:hint="eastAsia" w:ascii="宋体" w:hAnsi="宋体"/>
                <w:color w:val="auto"/>
                <w:kern w:val="0"/>
                <w:szCs w:val="21"/>
                <w:lang w:eastAsia="zh-CN"/>
              </w:rPr>
              <w:t>）甲级得1分</w:t>
            </w:r>
            <w:r>
              <w:rPr>
                <w:rFonts w:hint="eastAsia" w:ascii="宋体" w:hAnsi="宋体"/>
                <w:kern w:val="0"/>
                <w:szCs w:val="21"/>
                <w:lang w:val="en-US" w:eastAsia="zh-CN"/>
              </w:rPr>
              <w:t>，其他级别得0.5分；</w:t>
            </w:r>
          </w:p>
          <w:p>
            <w:pPr>
              <w:autoSpaceDE w:val="0"/>
              <w:autoSpaceDN w:val="0"/>
              <w:adjustRightInd w:val="0"/>
              <w:spacing w:line="360" w:lineRule="exact"/>
              <w:jc w:val="left"/>
              <w:rPr>
                <w:rFonts w:hint="eastAsia" w:ascii="宋体" w:hAnsi="宋体"/>
                <w:kern w:val="0"/>
                <w:szCs w:val="21"/>
              </w:rPr>
            </w:pPr>
            <w:r>
              <w:rPr>
                <w:rFonts w:hint="eastAsia" w:ascii="宋体" w:hAnsi="宋体"/>
                <w:kern w:val="0"/>
                <w:szCs w:val="21"/>
                <w:lang w:val="en-US" w:eastAsia="zh-CN"/>
              </w:rPr>
              <w:t>（3）投标人具有与环保水处理相关的技术专利发明证书，每提供一项得1分，最高得3分。</w:t>
            </w:r>
          </w:p>
          <w:p>
            <w:pPr>
              <w:autoSpaceDE w:val="0"/>
              <w:autoSpaceDN w:val="0"/>
              <w:adjustRightInd w:val="0"/>
              <w:spacing w:line="360" w:lineRule="exact"/>
              <w:jc w:val="left"/>
              <w:rPr>
                <w:rFonts w:hint="default" w:ascii="宋体" w:hAnsi="宋体" w:eastAsia="宋体"/>
                <w:kern w:val="0"/>
                <w:szCs w:val="21"/>
                <w:lang w:val="en-US" w:eastAsia="zh-CN"/>
              </w:rPr>
            </w:pPr>
            <w:r>
              <w:rPr>
                <w:rFonts w:hint="eastAsia" w:ascii="宋体" w:hAnsi="宋体"/>
                <w:b/>
                <w:bCs/>
                <w:kern w:val="0"/>
                <w:szCs w:val="21"/>
                <w:lang w:val="en-US" w:eastAsia="zh-CN"/>
              </w:rPr>
              <w:t>注：以上累计最高得10分。</w:t>
            </w:r>
          </w:p>
          <w:p>
            <w:pPr>
              <w:autoSpaceDE w:val="0"/>
              <w:autoSpaceDN w:val="0"/>
              <w:adjustRightInd w:val="0"/>
              <w:spacing w:line="360" w:lineRule="exact"/>
              <w:jc w:val="left"/>
              <w:rPr>
                <w:rFonts w:hint="eastAsia" w:ascii="宋体" w:hAnsi="宋体"/>
                <w:kern w:val="0"/>
                <w:szCs w:val="21"/>
              </w:rPr>
            </w:pP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1.提供有效认证证书（如认证证书注明年审要求的，必须按规定年审且证书在有效期内的方为有效；如未注明年审要求的，证书必须在有效期内的方为有效）；</w:t>
            </w: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2.认证证书</w:t>
            </w:r>
            <w:r>
              <w:rPr>
                <w:rFonts w:hint="eastAsia" w:ascii="宋体" w:hAnsi="宋体"/>
                <w:kern w:val="0"/>
                <w:szCs w:val="21"/>
                <w:lang w:val="en-US" w:eastAsia="zh-CN"/>
              </w:rPr>
              <w:t>还需同时</w:t>
            </w:r>
            <w:r>
              <w:rPr>
                <w:rFonts w:hint="eastAsia" w:ascii="宋体" w:hAnsi="宋体"/>
                <w:kern w:val="0"/>
                <w:szCs w:val="21"/>
              </w:rPr>
              <w:t>提供证书官网或权威机构【如：全国认证认可信息公共服务平台（cx.cnca.cn）】认证信息查询截图（截图需显示证书状态为有效）。</w:t>
            </w:r>
            <w:r>
              <w:rPr>
                <w:rFonts w:hint="eastAsia" w:ascii="宋体" w:hAnsi="宋体" w:cs="仿宋"/>
                <w:szCs w:val="21"/>
                <w:lang w:val="zh-CN"/>
              </w:rPr>
              <w:t>相关证书在公开渠道无法查询的，投标人需提供颁发部门或者监管机构的证明材料，证明证书真实有效且为合法机构颁发；</w:t>
            </w:r>
          </w:p>
          <w:p>
            <w:pPr>
              <w:autoSpaceDE w:val="0"/>
              <w:autoSpaceDN w:val="0"/>
              <w:adjustRightInd w:val="0"/>
              <w:spacing w:line="360" w:lineRule="exact"/>
              <w:jc w:val="left"/>
              <w:rPr>
                <w:rFonts w:hint="eastAsia" w:ascii="宋体" w:hAnsi="宋体" w:eastAsia="宋体"/>
                <w:kern w:val="0"/>
                <w:szCs w:val="21"/>
                <w:lang w:val="en-US" w:eastAsia="zh-CN"/>
              </w:rPr>
            </w:pPr>
            <w:r>
              <w:rPr>
                <w:rFonts w:hint="eastAsia" w:ascii="宋体" w:hAnsi="宋体"/>
                <w:kern w:val="0"/>
                <w:szCs w:val="21"/>
                <w:lang w:val="en-US" w:eastAsia="zh-CN"/>
              </w:rPr>
              <w:t>3.</w:t>
            </w:r>
            <w:r>
              <w:rPr>
                <w:rFonts w:hint="eastAsia" w:ascii="宋体" w:hAnsi="宋体" w:cs="宋体"/>
                <w:kern w:val="0"/>
                <w:szCs w:val="21"/>
              </w:rPr>
              <w:t>提供在有效期内的专利证书</w:t>
            </w:r>
            <w:r>
              <w:rPr>
                <w:rFonts w:hint="eastAsia" w:ascii="宋体" w:hAnsi="宋体" w:cs="宋体"/>
                <w:kern w:val="0"/>
                <w:szCs w:val="21"/>
                <w:lang w:eastAsia="zh-CN"/>
              </w:rPr>
              <w:t>；</w:t>
            </w:r>
          </w:p>
          <w:p>
            <w:pPr>
              <w:autoSpaceDE w:val="0"/>
              <w:autoSpaceDN w:val="0"/>
              <w:adjustRightInd w:val="0"/>
              <w:spacing w:line="360" w:lineRule="exact"/>
              <w:jc w:val="left"/>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w:t>
            </w:r>
            <w:r>
              <w:rPr>
                <w:rFonts w:hint="eastAsia" w:ascii="宋体" w:hAnsi="宋体"/>
                <w:szCs w:val="21"/>
              </w:rPr>
              <w:t>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ascii="宋体" w:hAnsi="宋体" w:cs="仿宋"/>
                <w:szCs w:val="21"/>
                <w:lang w:val="zh-CN"/>
              </w:rPr>
              <w:t>。</w:t>
            </w:r>
          </w:p>
        </w:tc>
        <w:tc>
          <w:tcPr>
            <w:tcW w:w="1187"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pPr>
              <w:adjustRightInd w:val="0"/>
              <w:snapToGrid w:val="0"/>
              <w:spacing w:line="360" w:lineRule="exact"/>
              <w:jc w:val="center"/>
              <w:rPr>
                <w:rFonts w:ascii="宋体" w:hAnsi="宋体"/>
                <w:snapToGrid w:val="0"/>
                <w:kern w:val="0"/>
                <w:szCs w:val="21"/>
              </w:rPr>
            </w:pPr>
            <w:r>
              <w:rPr>
                <w:rFonts w:hint="eastAsia" w:ascii="宋体" w:hAnsi="宋体" w:cs="宋体"/>
                <w:color w:val="000000"/>
                <w:kern w:val="0"/>
                <w:szCs w:val="21"/>
              </w:rPr>
              <w:t>同类项目业绩情况</w:t>
            </w:r>
          </w:p>
        </w:tc>
        <w:tc>
          <w:tcPr>
            <w:tcW w:w="709" w:type="dxa"/>
            <w:vAlign w:val="center"/>
          </w:tcPr>
          <w:p>
            <w:pPr>
              <w:adjustRightInd w:val="0"/>
              <w:snapToGrid w:val="0"/>
              <w:spacing w:line="360" w:lineRule="exact"/>
              <w:jc w:val="center"/>
              <w:rPr>
                <w:rFonts w:hint="eastAsia" w:ascii="宋体" w:hAnsi="宋体" w:eastAsia="宋体"/>
                <w:snapToGrid w:val="0"/>
                <w:kern w:val="0"/>
                <w:szCs w:val="21"/>
                <w:lang w:eastAsia="zh-CN"/>
              </w:rPr>
            </w:pPr>
            <w:r>
              <w:rPr>
                <w:rFonts w:hint="eastAsia" w:ascii="宋体" w:hAnsi="宋体"/>
                <w:snapToGrid w:val="0"/>
                <w:kern w:val="0"/>
                <w:szCs w:val="21"/>
                <w:lang w:val="en-US" w:eastAsia="zh-CN"/>
              </w:rPr>
              <w:t>8</w:t>
            </w:r>
          </w:p>
        </w:tc>
        <w:tc>
          <w:tcPr>
            <w:tcW w:w="5953" w:type="dxa"/>
            <w:vAlign w:val="center"/>
          </w:tcPr>
          <w:p>
            <w:pPr>
              <w:pStyle w:val="94"/>
              <w:spacing w:line="360" w:lineRule="exact"/>
              <w:ind w:firstLine="0" w:firstLineChars="0"/>
              <w:rPr>
                <w:rFonts w:hint="eastAsia" w:ascii="宋体" w:hAnsi="宋体"/>
                <w:szCs w:val="21"/>
              </w:rPr>
            </w:pPr>
            <w:r>
              <w:rPr>
                <w:rFonts w:hint="eastAsia" w:ascii="宋体" w:hAnsi="宋体"/>
                <w:szCs w:val="21"/>
              </w:rPr>
              <w:t>（一）评分内容：</w:t>
            </w:r>
          </w:p>
          <w:p>
            <w:pPr>
              <w:pStyle w:val="94"/>
              <w:spacing w:line="360" w:lineRule="exact"/>
              <w:ind w:firstLine="0" w:firstLineChars="0"/>
              <w:rPr>
                <w:rFonts w:hint="eastAsia" w:ascii="宋体" w:hAnsi="宋体"/>
                <w:szCs w:val="21"/>
              </w:rPr>
            </w:pPr>
            <w:r>
              <w:rPr>
                <w:rFonts w:hint="eastAsia" w:ascii="宋体" w:hAnsi="宋体"/>
                <w:szCs w:val="21"/>
              </w:rPr>
              <w:t>投标人具有</w:t>
            </w:r>
            <w:r>
              <w:rPr>
                <w:rFonts w:hint="eastAsia" w:ascii="宋体" w:hAnsi="宋体"/>
                <w:szCs w:val="21"/>
                <w:lang w:val="en-US" w:eastAsia="zh-CN"/>
              </w:rPr>
              <w:t>医疗</w:t>
            </w:r>
            <w:r>
              <w:rPr>
                <w:rFonts w:hint="eastAsia" w:ascii="宋体" w:hAnsi="宋体"/>
                <w:szCs w:val="21"/>
              </w:rPr>
              <w:t>污</w:t>
            </w:r>
            <w:r>
              <w:rPr>
                <w:rFonts w:hint="eastAsia" w:ascii="宋体" w:hAnsi="宋体"/>
                <w:szCs w:val="21"/>
                <w:lang w:val="en-US" w:eastAsia="zh-CN"/>
              </w:rPr>
              <w:t>废</w:t>
            </w:r>
            <w:r>
              <w:rPr>
                <w:rFonts w:hint="eastAsia" w:ascii="宋体" w:hAnsi="宋体"/>
                <w:szCs w:val="21"/>
              </w:rPr>
              <w:t>水处理</w:t>
            </w:r>
            <w:r>
              <w:rPr>
                <w:rFonts w:hint="eastAsia" w:ascii="宋体" w:hAnsi="宋体"/>
                <w:szCs w:val="21"/>
                <w:lang w:val="en-US" w:eastAsia="zh-CN"/>
              </w:rPr>
              <w:t>项目，其中项目内容需同时包含</w:t>
            </w:r>
            <w:r>
              <w:rPr>
                <w:rFonts w:hint="eastAsia" w:ascii="宋体" w:hAnsi="宋体"/>
                <w:szCs w:val="21"/>
              </w:rPr>
              <w:t>设备安装、设备调试和运营维保服务项目经验</w:t>
            </w:r>
            <w:r>
              <w:rPr>
                <w:rFonts w:hint="eastAsia" w:ascii="宋体" w:hAnsi="宋体"/>
                <w:szCs w:val="21"/>
                <w:lang w:val="en-US" w:eastAsia="zh-CN"/>
              </w:rPr>
              <w:t>的</w:t>
            </w:r>
            <w:r>
              <w:rPr>
                <w:rFonts w:hint="eastAsia" w:ascii="宋体" w:hAnsi="宋体"/>
                <w:szCs w:val="21"/>
              </w:rPr>
              <w:t>，每提供一个业绩合同得2分，</w:t>
            </w:r>
            <w:r>
              <w:rPr>
                <w:rFonts w:hint="eastAsia" w:ascii="宋体" w:hAnsi="宋体"/>
                <w:szCs w:val="21"/>
                <w:lang w:val="en-US" w:eastAsia="zh-CN"/>
              </w:rPr>
              <w:t>最高得8分</w:t>
            </w:r>
            <w:r>
              <w:rPr>
                <w:rFonts w:hint="eastAsia" w:ascii="宋体" w:hAnsi="宋体"/>
                <w:szCs w:val="21"/>
                <w:lang w:eastAsia="zh-CN"/>
              </w:rPr>
              <w:t>；</w:t>
            </w:r>
            <w:r>
              <w:rPr>
                <w:rFonts w:hint="eastAsia" w:ascii="宋体" w:hAnsi="宋体"/>
                <w:szCs w:val="21"/>
              </w:rPr>
              <w:t>仅单独污水处理设备安装或者单独设备调试或者单独运营维保不得分。</w:t>
            </w:r>
          </w:p>
          <w:p>
            <w:pPr>
              <w:autoSpaceDE w:val="0"/>
              <w:autoSpaceDN w:val="0"/>
              <w:adjustRightInd w:val="0"/>
              <w:spacing w:line="360" w:lineRule="exact"/>
              <w:jc w:val="left"/>
              <w:rPr>
                <w:rFonts w:hint="eastAsia" w:ascii="宋体" w:hAnsi="宋体"/>
                <w:kern w:val="0"/>
                <w:szCs w:val="21"/>
              </w:rPr>
            </w:pP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pPr>
              <w:adjustRightInd w:val="0"/>
              <w:snapToGrid w:val="0"/>
              <w:spacing w:line="360" w:lineRule="exact"/>
              <w:rPr>
                <w:rFonts w:ascii="宋体" w:hAnsi="宋体"/>
                <w:szCs w:val="21"/>
              </w:rPr>
            </w:pPr>
            <w:r>
              <w:rPr>
                <w:rFonts w:hint="eastAsia" w:ascii="宋体" w:hAnsi="宋体" w:cs="仿宋"/>
                <w:szCs w:val="21"/>
              </w:rPr>
              <w:t>1.提供合同关键页</w:t>
            </w:r>
            <w:r>
              <w:rPr>
                <w:rFonts w:cs="宋体" w:asciiTheme="minorEastAsia" w:hAnsiTheme="minorEastAsia" w:eastAsiaTheme="minorEastAsia"/>
                <w:szCs w:val="21"/>
              </w:rPr>
              <w:t>（关键信息包括但不仅限于合同的项目名称、服务内容、合同服务期限、合同签订日期</w:t>
            </w:r>
            <w:r>
              <w:rPr>
                <w:rFonts w:hint="eastAsia" w:cs="宋体" w:asciiTheme="minorEastAsia" w:hAnsiTheme="minorEastAsia" w:eastAsiaTheme="minorEastAsia"/>
                <w:szCs w:val="21"/>
              </w:rPr>
              <w:t>、</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宋体" w:hAnsi="宋体"/>
                <w:szCs w:val="21"/>
              </w:rPr>
              <w:t>；</w:t>
            </w:r>
          </w:p>
          <w:p>
            <w:pPr>
              <w:adjustRightInd w:val="0"/>
              <w:snapToGrid w:val="0"/>
              <w:spacing w:line="360" w:lineRule="exact"/>
              <w:rPr>
                <w:rFonts w:ascii="宋体" w:hAnsi="宋体"/>
                <w:szCs w:val="21"/>
              </w:rPr>
            </w:pPr>
            <w:r>
              <w:rPr>
                <w:rFonts w:hint="eastAsia" w:ascii="宋体" w:hAnsi="宋体"/>
                <w:szCs w:val="21"/>
              </w:rPr>
              <w:t>2.通过合同关键信息无法判断是否得分的，也可以提供能证明得分的其它证明资料，如项目报告或合同甲方出具的证明文件；</w:t>
            </w:r>
          </w:p>
          <w:p>
            <w:pPr>
              <w:adjustRightInd w:val="0"/>
              <w:snapToGrid w:val="0"/>
              <w:spacing w:line="360" w:lineRule="exact"/>
              <w:rPr>
                <w:rFonts w:ascii="宋体" w:hAnsi="宋体"/>
                <w:b/>
                <w:bCs/>
                <w:kern w:val="0"/>
                <w:szCs w:val="21"/>
              </w:rPr>
            </w:pPr>
            <w:r>
              <w:rPr>
                <w:rFonts w:hint="eastAsia" w:ascii="宋体" w:hAnsi="宋体"/>
                <w:szCs w:val="21"/>
                <w:lang w:val="en-US" w:eastAsia="zh-CN"/>
              </w:rPr>
              <w:t>3.</w:t>
            </w:r>
            <w:r>
              <w:rPr>
                <w:rFonts w:hint="eastAsia" w:ascii="宋体" w:hAnsi="宋体"/>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napToGrid w:val="0"/>
              <w:spacing w:line="360" w:lineRule="exact"/>
              <w:jc w:val="center"/>
              <w:rPr>
                <w:rFonts w:ascii="宋体" w:hAnsi="宋体" w:cs="宋体"/>
                <w:kern w:val="0"/>
                <w:szCs w:val="21"/>
              </w:rPr>
            </w:pPr>
            <w:r>
              <w:rPr>
                <w:rFonts w:hint="eastAsia" w:ascii="宋体" w:hAnsi="宋体"/>
                <w:kern w:val="0"/>
                <w:szCs w:val="21"/>
              </w:rPr>
              <w:t>3</w:t>
            </w:r>
          </w:p>
        </w:tc>
        <w:tc>
          <w:tcPr>
            <w:tcW w:w="1143" w:type="dxa"/>
            <w:vAlign w:val="center"/>
          </w:tcPr>
          <w:p>
            <w:pPr>
              <w:spacing w:line="360" w:lineRule="exact"/>
              <w:jc w:val="center"/>
              <w:rPr>
                <w:rFonts w:ascii="宋体" w:hAnsi="宋体" w:cs="仿宋"/>
                <w:szCs w:val="21"/>
              </w:rPr>
            </w:pPr>
            <w:r>
              <w:rPr>
                <w:rFonts w:hint="eastAsia" w:ascii="宋体" w:hAnsi="宋体" w:cs="宋体"/>
                <w:spacing w:val="7"/>
                <w:szCs w:val="21"/>
              </w:rPr>
              <w:t>服务</w:t>
            </w:r>
            <w:r>
              <w:rPr>
                <w:rFonts w:ascii="宋体" w:hAnsi="宋体" w:cs="宋体"/>
                <w:spacing w:val="7"/>
                <w:szCs w:val="21"/>
              </w:rPr>
              <w:t>人员</w:t>
            </w:r>
            <w:r>
              <w:rPr>
                <w:rFonts w:hint="eastAsia" w:ascii="宋体" w:hAnsi="宋体" w:cs="宋体"/>
                <w:spacing w:val="7"/>
                <w:szCs w:val="21"/>
              </w:rPr>
              <w:t>素质</w:t>
            </w:r>
          </w:p>
        </w:tc>
        <w:tc>
          <w:tcPr>
            <w:tcW w:w="709" w:type="dxa"/>
            <w:vAlign w:val="center"/>
          </w:tcPr>
          <w:p>
            <w:pPr>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12</w:t>
            </w:r>
          </w:p>
        </w:tc>
        <w:tc>
          <w:tcPr>
            <w:tcW w:w="5953" w:type="dxa"/>
            <w:vAlign w:val="center"/>
          </w:tcPr>
          <w:p>
            <w:pPr>
              <w:pStyle w:val="94"/>
              <w:spacing w:line="360" w:lineRule="exact"/>
              <w:ind w:firstLine="0" w:firstLineChars="0"/>
              <w:rPr>
                <w:rFonts w:ascii="宋体" w:hAnsi="宋体"/>
                <w:szCs w:val="21"/>
              </w:rPr>
            </w:pPr>
            <w:r>
              <w:rPr>
                <w:rFonts w:hint="eastAsia" w:ascii="宋体" w:hAnsi="宋体"/>
                <w:szCs w:val="21"/>
              </w:rPr>
              <w:t>（一）评分内容：</w:t>
            </w:r>
          </w:p>
          <w:p>
            <w:pPr>
              <w:autoSpaceDE w:val="0"/>
              <w:autoSpaceDN w:val="0"/>
              <w:adjustRightInd w:val="0"/>
              <w:spacing w:line="360" w:lineRule="exact"/>
              <w:jc w:val="left"/>
              <w:rPr>
                <w:rFonts w:ascii="宋体" w:hAnsi="宋体" w:cs="宋体"/>
                <w:bCs/>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1</w:t>
            </w: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项目负责人：</w:t>
            </w:r>
            <w:r>
              <w:rPr>
                <w:rFonts w:hint="eastAsia" w:ascii="宋体" w:hAnsi="宋体" w:cs="宋体"/>
                <w:bCs/>
                <w:kern w:val="0"/>
                <w:szCs w:val="21"/>
              </w:rPr>
              <w:t>持有</w:t>
            </w:r>
            <w:r>
              <w:rPr>
                <w:rFonts w:hint="eastAsia"/>
                <w:lang w:val="en-US" w:eastAsia="zh-CN"/>
              </w:rPr>
              <w:t>工程系列</w:t>
            </w:r>
            <w:r>
              <w:rPr>
                <w:rFonts w:hint="eastAsia" w:ascii="宋体" w:hAnsi="宋体" w:cs="宋体"/>
                <w:bCs/>
                <w:kern w:val="0"/>
                <w:szCs w:val="21"/>
              </w:rPr>
              <w:t>的专业技术资格高级工程师证书的</w:t>
            </w:r>
            <w:r>
              <w:rPr>
                <w:rFonts w:hint="eastAsia" w:ascii="宋体" w:hAnsi="宋体" w:cs="宋体"/>
                <w:bCs/>
                <w:kern w:val="0"/>
                <w:szCs w:val="21"/>
                <w:lang w:eastAsia="zh-CN"/>
              </w:rPr>
              <w:t>，</w:t>
            </w:r>
            <w:r>
              <w:rPr>
                <w:rFonts w:hint="eastAsia" w:ascii="宋体" w:hAnsi="宋体" w:cs="宋体"/>
                <w:bCs/>
                <w:kern w:val="0"/>
                <w:szCs w:val="21"/>
              </w:rPr>
              <w:t>得2分。</w:t>
            </w:r>
          </w:p>
          <w:p>
            <w:pPr>
              <w:autoSpaceDE w:val="0"/>
              <w:autoSpaceDN w:val="0"/>
              <w:adjustRightInd w:val="0"/>
              <w:spacing w:line="360" w:lineRule="exact"/>
              <w:jc w:val="left"/>
              <w:rPr>
                <w:rFonts w:hint="eastAsia" w:ascii="宋体" w:hAnsi="宋体" w:cs="宋体"/>
                <w:bCs/>
                <w:kern w:val="0"/>
                <w:szCs w:val="21"/>
                <w:lang w:val="en-US" w:eastAsia="zh-CN"/>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2</w:t>
            </w: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项目团队人员（项目负责人除外）：</w:t>
            </w:r>
          </w:p>
          <w:p>
            <w:pPr>
              <w:autoSpaceDE w:val="0"/>
              <w:autoSpaceDN w:val="0"/>
              <w:adjustRightInd w:val="0"/>
              <w:spacing w:line="360" w:lineRule="exact"/>
              <w:jc w:val="left"/>
              <w:rPr>
                <w:rFonts w:hint="eastAsia" w:ascii="宋体" w:hAnsi="宋体" w:eastAsia="宋体" w:cs="宋体"/>
                <w:bCs/>
                <w:kern w:val="0"/>
                <w:szCs w:val="21"/>
                <w:lang w:eastAsia="zh-CN"/>
              </w:rPr>
            </w:pPr>
            <w:r>
              <w:rPr>
                <w:rFonts w:hint="eastAsia" w:ascii="宋体" w:hAnsi="宋体" w:cs="宋体"/>
                <w:bCs/>
                <w:kern w:val="0"/>
                <w:szCs w:val="21"/>
                <w:lang w:val="en-US" w:eastAsia="zh-CN"/>
              </w:rPr>
              <w:t>1.具有</w:t>
            </w:r>
            <w:r>
              <w:rPr>
                <w:rFonts w:hint="eastAsia" w:ascii="宋体" w:hAnsi="宋体" w:cs="宋体"/>
                <w:bCs/>
                <w:kern w:val="0"/>
                <w:szCs w:val="21"/>
              </w:rPr>
              <w:t>生态环境或环保工程专业中级</w:t>
            </w:r>
            <w:r>
              <w:rPr>
                <w:rFonts w:hint="eastAsia" w:ascii="宋体" w:hAnsi="宋体" w:cs="宋体"/>
                <w:bCs/>
                <w:kern w:val="0"/>
                <w:szCs w:val="21"/>
                <w:lang w:val="en-US" w:eastAsia="zh-CN"/>
              </w:rPr>
              <w:t>或以上</w:t>
            </w:r>
            <w:r>
              <w:rPr>
                <w:rFonts w:hint="eastAsia"/>
                <w:lang w:val="en-US" w:eastAsia="zh-CN"/>
              </w:rPr>
              <w:t>技术资格证书</w:t>
            </w:r>
            <w:r>
              <w:rPr>
                <w:rFonts w:hint="eastAsia" w:ascii="宋体" w:hAnsi="宋体" w:cs="宋体"/>
                <w:bCs/>
                <w:kern w:val="0"/>
                <w:szCs w:val="21"/>
              </w:rPr>
              <w:t>的</w:t>
            </w:r>
            <w:r>
              <w:rPr>
                <w:rFonts w:hint="eastAsia" w:ascii="宋体" w:hAnsi="宋体" w:cs="宋体"/>
                <w:bCs/>
                <w:kern w:val="0"/>
                <w:szCs w:val="21"/>
                <w:lang w:eastAsia="zh-CN"/>
              </w:rPr>
              <w:t>，</w:t>
            </w:r>
            <w:r>
              <w:rPr>
                <w:rFonts w:hint="eastAsia" w:ascii="宋体" w:hAnsi="宋体" w:cs="宋体"/>
                <w:bCs/>
                <w:kern w:val="0"/>
                <w:szCs w:val="21"/>
                <w:lang w:val="en-US" w:eastAsia="zh-CN"/>
              </w:rPr>
              <w:t>提供1人</w:t>
            </w:r>
            <w:r>
              <w:rPr>
                <w:rFonts w:hint="eastAsia" w:ascii="宋体" w:hAnsi="宋体" w:cs="宋体"/>
                <w:bCs/>
                <w:kern w:val="0"/>
                <w:szCs w:val="21"/>
              </w:rPr>
              <w:t>得2分</w:t>
            </w:r>
            <w:r>
              <w:rPr>
                <w:rFonts w:hint="eastAsia" w:ascii="宋体" w:hAnsi="宋体" w:cs="宋体"/>
                <w:bCs/>
                <w:kern w:val="0"/>
                <w:szCs w:val="21"/>
                <w:lang w:eastAsia="zh-CN"/>
              </w:rPr>
              <w:t>，</w:t>
            </w:r>
            <w:r>
              <w:rPr>
                <w:rFonts w:hint="eastAsia" w:ascii="宋体" w:hAnsi="宋体" w:cs="宋体"/>
                <w:bCs/>
                <w:kern w:val="0"/>
                <w:szCs w:val="21"/>
                <w:lang w:val="en-US" w:eastAsia="zh-CN"/>
              </w:rPr>
              <w:t>最高得2分</w:t>
            </w:r>
            <w:r>
              <w:rPr>
                <w:rFonts w:hint="eastAsia" w:ascii="宋体" w:hAnsi="宋体" w:cs="宋体"/>
                <w:bCs/>
                <w:kern w:val="0"/>
                <w:szCs w:val="21"/>
                <w:lang w:eastAsia="zh-CN"/>
              </w:rPr>
              <w:t>；</w:t>
            </w:r>
          </w:p>
          <w:p>
            <w:pPr>
              <w:autoSpaceDE w:val="0"/>
              <w:autoSpaceDN w:val="0"/>
              <w:adjustRightInd w:val="0"/>
              <w:spacing w:line="360" w:lineRule="exact"/>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w:t>
            </w:r>
            <w:r>
              <w:rPr>
                <w:rFonts w:hint="eastAsia" w:ascii="宋体" w:hAnsi="宋体" w:cs="宋体"/>
                <w:bCs/>
                <w:kern w:val="0"/>
                <w:szCs w:val="21"/>
              </w:rPr>
              <w:t>具有《污废水处理工》证书</w:t>
            </w:r>
            <w:r>
              <w:rPr>
                <w:rFonts w:hint="eastAsia" w:ascii="宋体" w:hAnsi="宋体" w:cs="宋体"/>
                <w:bCs/>
                <w:kern w:val="0"/>
                <w:szCs w:val="21"/>
                <w:lang w:val="en-US" w:eastAsia="zh-CN"/>
              </w:rPr>
              <w:t>的</w:t>
            </w:r>
            <w:r>
              <w:rPr>
                <w:rFonts w:hint="eastAsia" w:ascii="宋体" w:hAnsi="宋体" w:cs="宋体"/>
                <w:bCs/>
                <w:kern w:val="0"/>
                <w:szCs w:val="21"/>
              </w:rPr>
              <w:t>，</w:t>
            </w:r>
            <w:r>
              <w:rPr>
                <w:rFonts w:hint="eastAsia" w:ascii="宋体" w:hAnsi="宋体" w:cs="宋体"/>
                <w:bCs/>
                <w:kern w:val="0"/>
                <w:szCs w:val="21"/>
                <w:lang w:val="en-US" w:eastAsia="zh-CN"/>
              </w:rPr>
              <w:t>提供5人或以上得6分，提供3-4人得3分，提供1-2人得1分，其他情况不得分；</w:t>
            </w:r>
          </w:p>
          <w:p>
            <w:pPr>
              <w:autoSpaceDE w:val="0"/>
              <w:autoSpaceDN w:val="0"/>
              <w:adjustRightInd w:val="0"/>
              <w:spacing w:line="360" w:lineRule="exact"/>
              <w:jc w:val="left"/>
              <w:rPr>
                <w:rFonts w:hint="eastAsia" w:ascii="宋体" w:hAnsi="宋体" w:eastAsia="宋体"/>
                <w:kern w:val="0"/>
                <w:szCs w:val="21"/>
                <w:lang w:val="en-US" w:eastAsia="zh-CN"/>
              </w:rPr>
            </w:pPr>
            <w:r>
              <w:rPr>
                <w:rFonts w:hint="eastAsia" w:ascii="宋体" w:hAnsi="宋体" w:cs="宋体"/>
                <w:bCs/>
                <w:kern w:val="0"/>
                <w:szCs w:val="21"/>
                <w:lang w:val="en-US" w:eastAsia="zh-CN"/>
              </w:rPr>
              <w:t>3.同时</w:t>
            </w:r>
            <w:r>
              <w:rPr>
                <w:rFonts w:hint="eastAsia" w:ascii="宋体" w:hAnsi="宋体" w:cs="宋体"/>
                <w:bCs/>
                <w:kern w:val="0"/>
                <w:szCs w:val="21"/>
              </w:rPr>
              <w:t>具有《自动监控（水）运行工》证书</w:t>
            </w:r>
            <w:r>
              <w:rPr>
                <w:rFonts w:hint="eastAsia" w:ascii="宋体" w:hAnsi="宋体" w:cs="宋体"/>
                <w:bCs/>
                <w:kern w:val="0"/>
                <w:szCs w:val="21"/>
                <w:lang w:val="en-US" w:eastAsia="zh-CN"/>
              </w:rPr>
              <w:t>和</w:t>
            </w:r>
            <w:r>
              <w:rPr>
                <w:rFonts w:hint="eastAsia"/>
              </w:rPr>
              <w:t>特种作业操作证（作业类别：电工作业，准操项目：低压电工作业）</w:t>
            </w:r>
            <w:r>
              <w:rPr>
                <w:rFonts w:hint="eastAsia" w:ascii="宋体" w:hAnsi="宋体" w:cs="宋体"/>
                <w:bCs/>
                <w:kern w:val="0"/>
                <w:szCs w:val="21"/>
                <w:lang w:val="en-US" w:eastAsia="zh-CN"/>
              </w:rPr>
              <w:t>的，提供1人</w:t>
            </w:r>
            <w:r>
              <w:rPr>
                <w:rFonts w:hint="eastAsia" w:ascii="宋体" w:hAnsi="宋体" w:cs="宋体"/>
                <w:bCs/>
                <w:kern w:val="0"/>
                <w:szCs w:val="21"/>
              </w:rPr>
              <w:t>得2分</w:t>
            </w:r>
            <w:r>
              <w:rPr>
                <w:rFonts w:hint="eastAsia" w:ascii="宋体" w:hAnsi="宋体" w:cs="宋体"/>
                <w:bCs/>
                <w:kern w:val="0"/>
                <w:szCs w:val="21"/>
                <w:lang w:eastAsia="zh-CN"/>
              </w:rPr>
              <w:t>，</w:t>
            </w:r>
            <w:r>
              <w:rPr>
                <w:rFonts w:hint="eastAsia" w:ascii="宋体" w:hAnsi="宋体" w:cs="宋体"/>
                <w:bCs/>
                <w:kern w:val="0"/>
                <w:szCs w:val="21"/>
                <w:lang w:val="en-US" w:eastAsia="zh-CN"/>
              </w:rPr>
              <w:t>最高得2分</w:t>
            </w:r>
            <w:r>
              <w:rPr>
                <w:rFonts w:hint="eastAsia" w:ascii="宋体" w:hAnsi="宋体" w:cs="宋体"/>
                <w:bCs/>
                <w:kern w:val="0"/>
                <w:szCs w:val="21"/>
                <w:lang w:eastAsia="zh-CN"/>
              </w:rPr>
              <w:t>。</w:t>
            </w:r>
          </w:p>
          <w:p>
            <w:pPr>
              <w:autoSpaceDE w:val="0"/>
              <w:autoSpaceDN w:val="0"/>
              <w:adjustRightInd w:val="0"/>
              <w:spacing w:line="360" w:lineRule="exact"/>
              <w:jc w:val="left"/>
              <w:rPr>
                <w:rFonts w:hint="default" w:ascii="宋体" w:hAnsi="宋体" w:eastAsia="宋体"/>
                <w:kern w:val="0"/>
                <w:szCs w:val="21"/>
                <w:lang w:val="en-US" w:eastAsia="zh-CN"/>
              </w:rPr>
            </w:pPr>
            <w:r>
              <w:rPr>
                <w:rFonts w:hint="eastAsia" w:ascii="宋体" w:hAnsi="宋体"/>
                <w:b/>
                <w:bCs/>
                <w:kern w:val="0"/>
                <w:szCs w:val="21"/>
                <w:lang w:val="en-US" w:eastAsia="zh-CN"/>
              </w:rPr>
              <w:t>注：以上项目团队人员具有多个证书的，不可重复得分。本项最高得12分。</w:t>
            </w:r>
          </w:p>
          <w:p>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pPr>
              <w:tabs>
                <w:tab w:val="left" w:pos="175"/>
              </w:tabs>
              <w:spacing w:line="360" w:lineRule="exact"/>
              <w:ind w:left="33"/>
              <w:jc w:val="left"/>
              <w:rPr>
                <w:rFonts w:ascii="宋体" w:hAnsi="宋体"/>
                <w:szCs w:val="21"/>
              </w:rPr>
            </w:pPr>
            <w:r>
              <w:rPr>
                <w:rFonts w:hint="eastAsia" w:ascii="宋体" w:hAnsi="宋体"/>
                <w:szCs w:val="21"/>
                <w:lang w:val="en-US" w:eastAsia="zh-CN"/>
              </w:rPr>
              <w:t>1.</w:t>
            </w:r>
            <w:r>
              <w:rPr>
                <w:rFonts w:hint="eastAsia" w:ascii="宋体" w:hAnsi="宋体" w:cs="宋体"/>
                <w:szCs w:val="21"/>
              </w:rPr>
              <w:t>提供</w:t>
            </w:r>
            <w:r>
              <w:rPr>
                <w:rFonts w:hint="eastAsia" w:ascii="宋体" w:hAnsi="宋体" w:cs="宋体"/>
                <w:szCs w:val="21"/>
                <w:lang w:val="en-US" w:eastAsia="zh-CN"/>
              </w:rPr>
              <w:t>上述</w:t>
            </w:r>
            <w:r>
              <w:rPr>
                <w:rFonts w:hint="eastAsia" w:ascii="宋体" w:hAnsi="宋体" w:cs="宋体"/>
                <w:szCs w:val="21"/>
              </w:rPr>
              <w:t>人员近</w:t>
            </w:r>
            <w:r>
              <w:rPr>
                <w:rFonts w:hint="eastAsia" w:ascii="宋体" w:hAnsi="宋体" w:cs="宋体"/>
                <w:szCs w:val="21"/>
                <w:lang w:val="en-US" w:eastAsia="zh-CN"/>
              </w:rPr>
              <w:t>三</w:t>
            </w:r>
            <w:r>
              <w:rPr>
                <w:rFonts w:hint="eastAsia" w:ascii="宋体" w:hAnsi="宋体" w:cs="宋体"/>
                <w:szCs w:val="21"/>
              </w:rPr>
              <w:t>个月社保证明；</w:t>
            </w:r>
          </w:p>
          <w:p>
            <w:pPr>
              <w:tabs>
                <w:tab w:val="left" w:pos="175"/>
              </w:tabs>
              <w:spacing w:line="360" w:lineRule="exact"/>
              <w:ind w:left="33"/>
              <w:jc w:val="left"/>
              <w:rPr>
                <w:rFonts w:ascii="宋体" w:hAnsi="宋体"/>
                <w:szCs w:val="21"/>
              </w:rPr>
            </w:pPr>
            <w:r>
              <w:rPr>
                <w:rFonts w:hint="eastAsia" w:ascii="宋体" w:hAnsi="宋体"/>
                <w:szCs w:val="21"/>
              </w:rPr>
              <w:t>2 提供上述</w:t>
            </w:r>
            <w:r>
              <w:rPr>
                <w:rFonts w:hint="eastAsia" w:ascii="宋体" w:hAnsi="宋体"/>
                <w:szCs w:val="21"/>
                <w:lang w:val="en-US" w:eastAsia="zh-CN"/>
              </w:rPr>
              <w:t>人员相对应的证书作为得分依据</w:t>
            </w:r>
            <w:r>
              <w:rPr>
                <w:rFonts w:hint="eastAsia" w:ascii="宋体" w:hAnsi="宋体"/>
                <w:szCs w:val="21"/>
              </w:rPr>
              <w:t>；</w:t>
            </w:r>
          </w:p>
          <w:p>
            <w:pPr>
              <w:tabs>
                <w:tab w:val="left" w:pos="175"/>
              </w:tabs>
              <w:spacing w:line="360" w:lineRule="exact"/>
              <w:ind w:left="33"/>
              <w:jc w:val="left"/>
              <w:rPr>
                <w:rFonts w:ascii="宋体" w:hAnsi="宋体"/>
                <w:szCs w:val="21"/>
              </w:rPr>
            </w:pPr>
            <w:r>
              <w:rPr>
                <w:rFonts w:hint="eastAsia" w:ascii="宋体" w:hAnsi="宋体"/>
                <w:szCs w:val="21"/>
                <w:lang w:val="en-US" w:eastAsia="zh-CN"/>
              </w:rPr>
              <w:t>3.</w:t>
            </w:r>
            <w:r>
              <w:rPr>
                <w:rFonts w:hint="eastAsia" w:ascii="宋体" w:hAnsi="宋体"/>
                <w:szCs w:val="21"/>
              </w:rPr>
              <w:t>提供以上证明文件复印件或扫描件，均要求加盖投标人公章,原件备查。未按要求提供有效证明材料或提供不清晰导致评委无法识别的不计得分。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诚信评审</w:t>
            </w:r>
          </w:p>
        </w:tc>
        <w:tc>
          <w:tcPr>
            <w:tcW w:w="709"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lang w:val="en-US" w:eastAsia="zh-CN"/>
              </w:rPr>
              <w:t>5</w:t>
            </w:r>
          </w:p>
        </w:tc>
        <w:tc>
          <w:tcPr>
            <w:tcW w:w="5953" w:type="dxa"/>
            <w:vAlign w:val="center"/>
          </w:tcPr>
          <w:p>
            <w:pPr>
              <w:pStyle w:val="94"/>
              <w:spacing w:line="360" w:lineRule="exact"/>
              <w:ind w:firstLine="0" w:firstLineChars="0"/>
              <w:rPr>
                <w:rFonts w:hint="eastAsia" w:ascii="宋体" w:hAnsi="宋体" w:eastAsia="宋体" w:cs="宋体"/>
                <w:szCs w:val="21"/>
              </w:rPr>
            </w:pPr>
            <w:r>
              <w:rPr>
                <w:rFonts w:hint="eastAsia" w:ascii="宋体" w:hAnsi="宋体" w:eastAsia="宋体" w:cs="宋体"/>
                <w:szCs w:val="21"/>
              </w:rPr>
              <w:t>（一）评分内容：</w:t>
            </w:r>
          </w:p>
          <w:p>
            <w:pPr>
              <w:adjustRightInd w:val="0"/>
              <w:snapToGrid w:val="0"/>
              <w:spacing w:line="360" w:lineRule="exact"/>
              <w:rPr>
                <w:rFonts w:hint="eastAsia" w:ascii="宋体" w:hAnsi="宋体" w:eastAsia="宋体" w:cs="宋体"/>
                <w:szCs w:val="21"/>
              </w:rPr>
            </w:pPr>
            <w:r>
              <w:rPr>
                <w:rFonts w:hint="eastAsia" w:ascii="宋体" w:hAnsi="宋体" w:eastAsia="宋体" w:cs="宋体"/>
                <w:szCs w:val="21"/>
              </w:rPr>
              <w:t>投标人参与政府采购活动在诚信管理中受过主管部门通报处理且仍在实施期限内的本项不得分，</w:t>
            </w:r>
            <w:r>
              <w:rPr>
                <w:rFonts w:hint="eastAsia" w:ascii="宋体" w:hAnsi="宋体" w:eastAsia="宋体" w:cs="宋体"/>
                <w:kern w:val="0"/>
                <w:szCs w:val="21"/>
              </w:rPr>
              <w:t>否则得5分</w:t>
            </w:r>
            <w:r>
              <w:rPr>
                <w:rFonts w:hint="eastAsia" w:ascii="宋体" w:hAnsi="宋体" w:eastAsia="宋体" w:cs="宋体"/>
                <w:szCs w:val="21"/>
              </w:rPr>
              <w:t>。</w:t>
            </w:r>
          </w:p>
          <w:p>
            <w:pPr>
              <w:autoSpaceDE w:val="0"/>
              <w:autoSpaceDN w:val="0"/>
              <w:adjustRightInd w:val="0"/>
              <w:spacing w:line="360" w:lineRule="exact"/>
              <w:jc w:val="left"/>
              <w:rPr>
                <w:rFonts w:hint="eastAsia" w:ascii="宋体" w:hAnsi="宋体" w:eastAsia="宋体" w:cs="宋体"/>
                <w:kern w:val="0"/>
                <w:szCs w:val="21"/>
              </w:rPr>
            </w:pPr>
          </w:p>
          <w:p>
            <w:pPr>
              <w:autoSpaceDE w:val="0"/>
              <w:autoSpaceDN w:val="0"/>
              <w:adjustRightInd w:val="0"/>
              <w:spacing w:line="360" w:lineRule="exact"/>
              <w:jc w:val="left"/>
              <w:rPr>
                <w:rFonts w:hint="eastAsia" w:ascii="宋体" w:hAnsi="宋体" w:eastAsia="宋体" w:cs="宋体"/>
                <w:kern w:val="0"/>
                <w:szCs w:val="21"/>
              </w:rPr>
            </w:pPr>
            <w:r>
              <w:rPr>
                <w:rFonts w:hint="eastAsia" w:ascii="宋体" w:hAnsi="宋体" w:eastAsia="宋体" w:cs="宋体"/>
                <w:kern w:val="0"/>
                <w:szCs w:val="21"/>
              </w:rPr>
              <w:t>（二）评分依据：</w:t>
            </w:r>
          </w:p>
          <w:p>
            <w:pPr>
              <w:tabs>
                <w:tab w:val="left" w:pos="175"/>
              </w:tabs>
              <w:spacing w:line="360" w:lineRule="exact"/>
              <w:ind w:left="33"/>
              <w:jc w:val="left"/>
              <w:rPr>
                <w:rFonts w:hint="eastAsia" w:ascii="宋体" w:hAnsi="宋体" w:eastAsia="宋体" w:cs="宋体"/>
                <w:szCs w:val="21"/>
              </w:rPr>
            </w:pPr>
            <w:r>
              <w:rPr>
                <w:rFonts w:hint="eastAsia" w:ascii="宋体" w:hAnsi="宋体" w:eastAsia="宋体" w:cs="宋体"/>
                <w:bCs/>
                <w:kern w:val="0"/>
                <w:szCs w:val="21"/>
              </w:rPr>
              <w:t>按招标文件格式如实提供</w:t>
            </w:r>
            <w:r>
              <w:rPr>
                <w:rFonts w:hint="eastAsia" w:ascii="宋体" w:hAnsi="宋体" w:eastAsia="宋体" w:cs="宋体"/>
                <w:szCs w:val="21"/>
              </w:rPr>
              <w:t>《诚信承诺函》</w:t>
            </w:r>
            <w:r>
              <w:rPr>
                <w:rFonts w:hint="eastAsia" w:ascii="宋体" w:hAnsi="宋体" w:eastAsia="宋体" w:cs="宋体"/>
                <w:bCs/>
                <w:kern w:val="0"/>
                <w:szCs w:val="21"/>
              </w:rPr>
              <w:t>原件加盖投标人公章，且承诺函格式及内容不得修改，否则不得分</w:t>
            </w:r>
            <w:r>
              <w:rPr>
                <w:rFonts w:hint="eastAsia" w:ascii="宋体" w:hAnsi="宋体" w:eastAsia="宋体" w:cs="宋体"/>
                <w:szCs w:val="21"/>
              </w:rPr>
              <w:t>。</w:t>
            </w:r>
            <w:r>
              <w:rPr>
                <w:rFonts w:hint="eastAsia" w:ascii="宋体" w:hAnsi="宋体" w:eastAsia="宋体" w:cs="宋体"/>
                <w:bCs/>
                <w:kern w:val="0"/>
                <w:szCs w:val="21"/>
              </w:rPr>
              <w:t>如若投标人承诺与实际情况不相符，将按虚假应标报相关主管部门处理</w:t>
            </w:r>
            <w:r>
              <w:rPr>
                <w:rFonts w:hint="eastAsia" w:ascii="宋体" w:hAnsi="宋体" w:eastAsia="宋体" w:cs="宋体"/>
                <w:szCs w:val="21"/>
              </w:rPr>
              <w:t>。</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bl>
    <w:p>
      <w:pPr>
        <w:pStyle w:val="5"/>
        <w:spacing w:before="0" w:after="0"/>
        <w:jc w:val="left"/>
        <w:rPr>
          <w:rFonts w:asciiTheme="minorEastAsia" w:hAnsiTheme="minorEastAsia"/>
          <w:bCs w:val="0"/>
          <w:sz w:val="21"/>
          <w:szCs w:val="21"/>
        </w:rPr>
      </w:pPr>
      <w:bookmarkStart w:id="10" w:name="_Toc110410365"/>
      <w:bookmarkStart w:id="11" w:name="_Toc44690703"/>
      <w:bookmarkStart w:id="12" w:name="_Toc44690430"/>
      <w:bookmarkStart w:id="13" w:name="_Toc44691394"/>
      <w:bookmarkStart w:id="14" w:name="_Toc44691162"/>
      <w:r>
        <w:rPr>
          <w:rFonts w:hint="eastAsia" w:asciiTheme="minorEastAsia" w:hAnsiTheme="minorEastAsia"/>
          <w:bCs w:val="0"/>
          <w:sz w:val="21"/>
          <w:szCs w:val="21"/>
        </w:rPr>
        <w:t>备注：</w:t>
      </w:r>
      <w:bookmarkEnd w:id="10"/>
      <w:bookmarkEnd w:id="11"/>
      <w:bookmarkEnd w:id="12"/>
      <w:bookmarkEnd w:id="13"/>
      <w:bookmarkEnd w:id="14"/>
    </w:p>
    <w:p>
      <w:pPr>
        <w:pStyle w:val="4"/>
        <w:spacing w:before="0" w:after="0"/>
      </w:pPr>
      <w:bookmarkStart w:id="15" w:name="_Toc1104103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exact"/>
        <w:rPr>
          <w:rFonts w:asciiTheme="minorEastAsia" w:hAnsiTheme="minorEastAsia" w:eastAsiaTheme="minorEastAsia"/>
          <w:b/>
        </w:rPr>
      </w:pPr>
    </w:p>
    <w:p>
      <w:pPr>
        <w:pStyle w:val="4"/>
        <w:spacing w:before="0" w:after="0"/>
        <w:rPr>
          <w:rFonts w:asciiTheme="minorEastAsia" w:hAnsiTheme="minorEastAsia" w:eastAsiaTheme="minorEastAsia"/>
        </w:rPr>
      </w:pPr>
      <w:bookmarkStart w:id="16" w:name="_Toc110410367"/>
      <w:r>
        <w:rPr>
          <w:rFonts w:hint="eastAsia" w:asciiTheme="minorEastAsia" w:hAnsiTheme="minorEastAsia" w:eastAsiaTheme="minorEastAsia"/>
        </w:rPr>
        <w:t>2、政府采购扶持政策</w:t>
      </w:r>
      <w:bookmarkEnd w:id="16"/>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rPr>
        <w:t>其投标报价扣除</w:t>
      </w:r>
      <w:r>
        <w:rPr>
          <w:rFonts w:hint="eastAsia" w:asciiTheme="minorEastAsia" w:hAnsiTheme="minorEastAsia" w:eastAsiaTheme="minorEastAsia"/>
          <w:b/>
          <w:u w:val="single"/>
        </w:rPr>
        <w:t xml:space="preserve"> 10 </w:t>
      </w:r>
      <w:r>
        <w:rPr>
          <w:rFonts w:hint="eastAsia" w:asciiTheme="minorEastAsia" w:hAnsiTheme="minorEastAsia" w:eastAsiaTheme="minorEastAsia"/>
          <w:b/>
        </w:rPr>
        <w:t>%（请在10%-20%范围内选择）后参与评审</w:t>
      </w:r>
      <w:r>
        <w:rPr>
          <w:rFonts w:hint="eastAsia" w:asciiTheme="minorEastAsia" w:hAnsiTheme="minorEastAsia" w:eastAsiaTheme="minorEastAsia"/>
        </w:rPr>
        <w:t>。对于同时属于小微企业、监狱企业或残疾人福利性单位的，不重复进行投标报价扣除。</w:t>
      </w:r>
    </w:p>
    <w:p>
      <w:pPr>
        <w:spacing w:line="360" w:lineRule="auto"/>
        <w:ind w:firstLine="426" w:firstLineChars="202"/>
        <w:rPr>
          <w:rFonts w:asciiTheme="minorEastAsia" w:hAnsiTheme="minorEastAsia" w:eastAsiaTheme="minorEastAsia"/>
        </w:rPr>
      </w:pPr>
      <w:r>
        <w:rPr>
          <w:rFonts w:hint="eastAsia" w:asciiTheme="minorEastAsia" w:hAnsiTheme="minorEastAsia" w:eastAsiaTheme="minorEastAsia"/>
          <w:b/>
          <w:highlight w:val="yellow"/>
        </w:rPr>
        <w:t>本项目所属行业为</w:t>
      </w:r>
      <w:r>
        <w:rPr>
          <w:rFonts w:hint="eastAsia" w:asciiTheme="minorEastAsia" w:hAnsiTheme="minorEastAsia" w:eastAsiaTheme="minorEastAsia"/>
          <w:b/>
          <w:highlight w:val="yellow"/>
          <w:u w:val="single"/>
        </w:rPr>
        <w:t xml:space="preserve">  其他未列明行业  </w:t>
      </w:r>
      <w:r>
        <w:rPr>
          <w:rFonts w:hint="eastAsia" w:asciiTheme="minorEastAsia" w:hAnsiTheme="minorEastAsia" w:eastAsiaTheme="minorEastAsia"/>
          <w:b/>
          <w:highlight w:val="yellow"/>
        </w:rPr>
        <w:t>。</w:t>
      </w:r>
      <w:r>
        <w:rPr>
          <w:rFonts w:hint="eastAsia" w:asciiTheme="minorEastAsia" w:hAnsiTheme="minorEastAsia" w:eastAsiaTheme="minorEastAsia"/>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（2）联合协议中约定，小型、微型企业的协议合同金额占到联合体协议合同总金额30%以上的，可给予</w:t>
      </w:r>
      <w:r>
        <w:rPr>
          <w:rFonts w:hint="eastAsia" w:asciiTheme="minorEastAsia" w:hAnsiTheme="minorEastAsia" w:eastAsiaTheme="minorEastAsia"/>
          <w:b/>
        </w:rPr>
        <w:t>联合体</w:t>
      </w:r>
      <w:r>
        <w:rPr>
          <w:rFonts w:hint="eastAsia" w:asciiTheme="minorEastAsia" w:hAnsiTheme="minorEastAsia" w:eastAsiaTheme="minorEastAsia"/>
          <w:b/>
          <w:u w:val="single"/>
        </w:rPr>
        <w:t xml:space="preserve"> /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联合体各方均为小型、微型企业、监狱企业和</w:t>
      </w:r>
      <w:r>
        <w:rPr>
          <w:rFonts w:hint="eastAsia" w:ascii="宋体" w:hAnsi="宋体"/>
        </w:rPr>
        <w:t>残疾人福利性单位</w:t>
      </w:r>
      <w:r>
        <w:rPr>
          <w:rFonts w:hint="eastAsia" w:asciiTheme="minorEastAsia" w:hAnsiTheme="minorEastAsia" w:eastAsiaTheme="minorEastAsia"/>
        </w:rPr>
        <w:t>的，联合体视同为小型、微型企业、监狱企业和</w:t>
      </w:r>
      <w:r>
        <w:rPr>
          <w:rFonts w:hint="eastAsia" w:ascii="宋体" w:hAnsi="宋体"/>
        </w:rPr>
        <w:t>残疾人福利性单位</w:t>
      </w:r>
      <w:r>
        <w:rPr>
          <w:rFonts w:hint="eastAsia" w:asciiTheme="minorEastAsia" w:hAnsiTheme="minorEastAsia" w:eastAsiaTheme="minorEastAsia"/>
        </w:rPr>
        <w:t>，均享受</w:t>
      </w:r>
      <w:r>
        <w:rPr>
          <w:rFonts w:hint="eastAsia" w:asciiTheme="minorEastAsia" w:hAnsiTheme="minorEastAsia" w:eastAsiaTheme="minorEastAsia"/>
          <w:b/>
          <w:bCs/>
        </w:rPr>
        <w:t>本章政府采购扶持政策第一款</w:t>
      </w:r>
      <w:r>
        <w:rPr>
          <w:rFonts w:hint="eastAsia" w:asciiTheme="minorEastAsia" w:hAnsiTheme="minorEastAsia" w:eastAsiaTheme="minorEastAsia"/>
        </w:rPr>
        <w:t>的优惠政策。</w:t>
      </w:r>
    </w:p>
    <w:p>
      <w:pPr>
        <w:spacing w:line="360" w:lineRule="auto"/>
        <w:ind w:firstLine="424" w:firstLineChars="202"/>
        <w:rPr>
          <w:rFonts w:ascii="宋体" w:hAnsi="宋体"/>
          <w:snapToGrid w:val="0"/>
          <w:szCs w:val="21"/>
        </w:rPr>
      </w:pPr>
      <w:r>
        <w:rPr>
          <w:rFonts w:hint="eastAsia" w:ascii="宋体" w:hAnsi="宋体"/>
          <w:snapToGrid w:val="0"/>
          <w:szCs w:val="21"/>
        </w:rPr>
        <w:t>（3）优惠主体资格的认定资料为《中小企业声明函》、《残疾人福利性单位声明函》以及《监狱企业声明函》等承诺性质的资料（格式详见招标文件第三章）；监狱企业或者代理提供监狱企业货物的供应商如须享受优惠政策，除上述资料外，还须提供省级以上监狱管理局、戒毒管理局出具的监狱企业证明文件。</w:t>
      </w:r>
    </w:p>
    <w:p>
      <w:pPr>
        <w:spacing w:line="360" w:lineRule="auto"/>
        <w:ind w:firstLine="424" w:firstLineChars="202"/>
      </w:pPr>
      <w:r>
        <w:rPr>
          <w:rFonts w:hint="eastAsia" w:ascii="宋体" w:hAnsi="宋体"/>
          <w:snapToGrid w:val="0"/>
          <w:szCs w:val="21"/>
        </w:rPr>
        <w:t>（4）为缓解中小企业融资难题，深圳市推出政府采购订单融资改革举措。订单融资具体流程及试点金融机构订单融资服务承诺可参阅深圳市政府采购监管网（www.zfcg.sz.gov.cn）信息公开栏目。</w:t>
      </w:r>
    </w:p>
    <w:p/>
    <w:p>
      <w:pPr>
        <w:widowControl/>
        <w:jc w:val="left"/>
      </w:pPr>
      <w:r>
        <w:br w:type="page"/>
      </w:r>
    </w:p>
    <w:p/>
    <w:p>
      <w:pPr>
        <w:pStyle w:val="3"/>
        <w:spacing w:before="0"/>
      </w:pPr>
      <w:bookmarkStart w:id="17" w:name="_Toc1104103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项号</w:t>
            </w:r>
          </w:p>
        </w:tc>
        <w:tc>
          <w:tcPr>
            <w:tcW w:w="1038" w:type="dxa"/>
            <w:vAlign w:val="center"/>
          </w:tcPr>
          <w:p>
            <w:pPr>
              <w:pStyle w:val="26"/>
              <w:spacing w:line="360" w:lineRule="auto"/>
              <w:jc w:val="center"/>
              <w:rPr>
                <w:rFonts w:hAnsi="宋体"/>
              </w:rPr>
            </w:pPr>
            <w:r>
              <w:rPr>
                <w:rFonts w:hint="eastAsia" w:hAnsi="宋体"/>
              </w:rPr>
              <w:t>条款号</w:t>
            </w:r>
          </w:p>
        </w:tc>
        <w:tc>
          <w:tcPr>
            <w:tcW w:w="1843" w:type="dxa"/>
            <w:vAlign w:val="center"/>
          </w:tcPr>
          <w:p>
            <w:pPr>
              <w:pStyle w:val="26"/>
              <w:spacing w:line="360" w:lineRule="auto"/>
              <w:jc w:val="center"/>
              <w:rPr>
                <w:rFonts w:hAnsi="宋体"/>
              </w:rPr>
            </w:pPr>
            <w:r>
              <w:rPr>
                <w:rFonts w:hint="eastAsia" w:hAnsi="宋体"/>
              </w:rPr>
              <w:t>内容</w:t>
            </w:r>
          </w:p>
        </w:tc>
        <w:tc>
          <w:tcPr>
            <w:tcW w:w="6520" w:type="dxa"/>
          </w:tcPr>
          <w:p>
            <w:pPr>
              <w:pStyle w:val="26"/>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Ansi="宋体"/>
              </w:rPr>
              <w:t>1</w:t>
            </w:r>
          </w:p>
        </w:tc>
        <w:tc>
          <w:tcPr>
            <w:tcW w:w="1038" w:type="dxa"/>
            <w:vAlign w:val="center"/>
          </w:tcPr>
          <w:p>
            <w:pPr>
              <w:pStyle w:val="26"/>
              <w:spacing w:line="360" w:lineRule="auto"/>
              <w:jc w:val="center"/>
              <w:rPr>
                <w:rFonts w:hAnsi="宋体"/>
              </w:rPr>
            </w:pPr>
            <w:r>
              <w:rPr>
                <w:rFonts w:hAnsi="宋体"/>
              </w:rPr>
              <w:t>1.1</w:t>
            </w:r>
          </w:p>
        </w:tc>
        <w:tc>
          <w:tcPr>
            <w:tcW w:w="1843" w:type="dxa"/>
            <w:vAlign w:val="center"/>
          </w:tcPr>
          <w:p>
            <w:pPr>
              <w:pStyle w:val="26"/>
              <w:spacing w:line="360" w:lineRule="exact"/>
              <w:jc w:val="center"/>
              <w:rPr>
                <w:rFonts w:hAnsi="宋体"/>
              </w:rPr>
            </w:pPr>
            <w:r>
              <w:rPr>
                <w:rFonts w:hint="eastAsia" w:hAnsi="宋体"/>
              </w:rPr>
              <w:t>项目名称</w:t>
            </w:r>
          </w:p>
        </w:tc>
        <w:tc>
          <w:tcPr>
            <w:tcW w:w="6520" w:type="dxa"/>
            <w:vAlign w:val="center"/>
          </w:tcPr>
          <w:p>
            <w:pPr>
              <w:pStyle w:val="26"/>
              <w:spacing w:line="360" w:lineRule="exact"/>
              <w:rPr>
                <w:rFonts w:hint="eastAsia" w:eastAsia="宋体"/>
                <w:lang w:eastAsia="zh-CN"/>
              </w:rPr>
            </w:pPr>
            <w:r>
              <w:rPr>
                <w:rFonts w:hint="eastAsia"/>
                <w:lang w:eastAsia="zh-CN"/>
              </w:rPr>
              <w:t>象山社区医院污水处理站运维服务项目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2</w:t>
            </w:r>
          </w:p>
        </w:tc>
        <w:tc>
          <w:tcPr>
            <w:tcW w:w="1038" w:type="dxa"/>
            <w:vAlign w:val="center"/>
          </w:tcPr>
          <w:p>
            <w:pPr>
              <w:pStyle w:val="26"/>
              <w:spacing w:line="360" w:lineRule="auto"/>
              <w:jc w:val="center"/>
              <w:rPr>
                <w:rFonts w:hAnsi="宋体"/>
              </w:rPr>
            </w:pPr>
            <w:r>
              <w:rPr>
                <w:rFonts w:hAnsi="宋体"/>
              </w:rPr>
              <w:t>2.1</w:t>
            </w:r>
          </w:p>
        </w:tc>
        <w:tc>
          <w:tcPr>
            <w:tcW w:w="1843" w:type="dxa"/>
            <w:vAlign w:val="center"/>
          </w:tcPr>
          <w:p>
            <w:pPr>
              <w:pStyle w:val="26"/>
              <w:spacing w:line="360" w:lineRule="exact"/>
              <w:jc w:val="center"/>
              <w:rPr>
                <w:rFonts w:hAnsi="宋体"/>
              </w:rPr>
            </w:pPr>
            <w:r>
              <w:rPr>
                <w:rFonts w:hint="eastAsia" w:hAnsi="宋体"/>
              </w:rPr>
              <w:t>采购人</w:t>
            </w:r>
          </w:p>
        </w:tc>
        <w:tc>
          <w:tcPr>
            <w:tcW w:w="6520" w:type="dxa"/>
            <w:vAlign w:val="center"/>
          </w:tcPr>
          <w:p>
            <w:pPr>
              <w:pStyle w:val="26"/>
              <w:spacing w:line="360" w:lineRule="exact"/>
              <w:rPr>
                <w:rFonts w:hAnsi="宋体"/>
                <w:szCs w:val="24"/>
              </w:rPr>
            </w:pPr>
            <w:r>
              <w:rPr>
                <w:rFonts w:hint="eastAsia" w:hAnsi="宋体"/>
                <w:szCs w:val="24"/>
              </w:rPr>
              <w:t>深圳市中西医结合医院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3</w:t>
            </w:r>
          </w:p>
        </w:tc>
        <w:tc>
          <w:tcPr>
            <w:tcW w:w="1038" w:type="dxa"/>
            <w:vAlign w:val="center"/>
          </w:tcPr>
          <w:p>
            <w:pPr>
              <w:pStyle w:val="26"/>
              <w:spacing w:line="360" w:lineRule="auto"/>
              <w:jc w:val="center"/>
              <w:rPr>
                <w:rFonts w:hAnsi="宋体"/>
              </w:rPr>
            </w:pPr>
            <w:r>
              <w:rPr>
                <w:rFonts w:hAnsi="宋体"/>
              </w:rPr>
              <w:t>2.2</w:t>
            </w:r>
          </w:p>
        </w:tc>
        <w:tc>
          <w:tcPr>
            <w:tcW w:w="1843" w:type="dxa"/>
            <w:vAlign w:val="center"/>
          </w:tcPr>
          <w:p>
            <w:pPr>
              <w:pStyle w:val="26"/>
              <w:spacing w:line="360" w:lineRule="exact"/>
              <w:jc w:val="center"/>
              <w:rPr>
                <w:rFonts w:hAnsi="宋体"/>
              </w:rPr>
            </w:pPr>
            <w:r>
              <w:rPr>
                <w:rFonts w:hint="eastAsia" w:hAnsi="宋体"/>
              </w:rPr>
              <w:t>采购代理机构</w:t>
            </w:r>
          </w:p>
        </w:tc>
        <w:tc>
          <w:tcPr>
            <w:tcW w:w="6520" w:type="dxa"/>
            <w:vAlign w:val="center"/>
          </w:tcPr>
          <w:p>
            <w:pPr>
              <w:pStyle w:val="26"/>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6"/>
              <w:spacing w:line="360" w:lineRule="auto"/>
              <w:jc w:val="center"/>
              <w:rPr>
                <w:rFonts w:hAnsi="宋体"/>
              </w:rPr>
            </w:pPr>
            <w:r>
              <w:rPr>
                <w:rFonts w:hint="eastAsia" w:hAnsi="宋体"/>
              </w:rPr>
              <w:t>4</w:t>
            </w:r>
          </w:p>
        </w:tc>
        <w:tc>
          <w:tcPr>
            <w:tcW w:w="1038" w:type="dxa"/>
            <w:vAlign w:val="center"/>
          </w:tcPr>
          <w:p>
            <w:pPr>
              <w:pStyle w:val="26"/>
              <w:spacing w:line="360" w:lineRule="auto"/>
              <w:jc w:val="center"/>
              <w:rPr>
                <w:rFonts w:hAnsi="宋体"/>
              </w:rPr>
            </w:pPr>
            <w:r>
              <w:rPr>
                <w:rFonts w:hint="eastAsia" w:hAnsi="宋体"/>
              </w:rPr>
              <w:t>3.1</w:t>
            </w:r>
          </w:p>
        </w:tc>
        <w:tc>
          <w:tcPr>
            <w:tcW w:w="1843" w:type="dxa"/>
            <w:vAlign w:val="center"/>
          </w:tcPr>
          <w:p>
            <w:pPr>
              <w:pStyle w:val="26"/>
              <w:spacing w:line="360" w:lineRule="exact"/>
              <w:jc w:val="center"/>
              <w:rPr>
                <w:rFonts w:hAnsi="宋体"/>
              </w:rPr>
            </w:pPr>
            <w:r>
              <w:rPr>
                <w:rFonts w:hint="eastAsia" w:hAnsi="宋体"/>
              </w:rPr>
              <w:t>资金来源</w:t>
            </w:r>
          </w:p>
        </w:tc>
        <w:tc>
          <w:tcPr>
            <w:tcW w:w="6520" w:type="dxa"/>
            <w:vAlign w:val="center"/>
          </w:tcPr>
          <w:p>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6"/>
              <w:spacing w:line="360" w:lineRule="auto"/>
              <w:jc w:val="center"/>
              <w:rPr>
                <w:rFonts w:hAnsi="宋体"/>
              </w:rPr>
            </w:pPr>
            <w:r>
              <w:rPr>
                <w:rFonts w:hint="eastAsia" w:hAnsi="宋体"/>
              </w:rPr>
              <w:t>5</w:t>
            </w:r>
          </w:p>
        </w:tc>
        <w:tc>
          <w:tcPr>
            <w:tcW w:w="1038" w:type="dxa"/>
            <w:vAlign w:val="center"/>
          </w:tcPr>
          <w:p>
            <w:pPr>
              <w:pStyle w:val="26"/>
              <w:spacing w:line="360" w:lineRule="auto"/>
              <w:jc w:val="center"/>
              <w:rPr>
                <w:rFonts w:hAnsi="宋体"/>
              </w:rPr>
            </w:pPr>
            <w:r>
              <w:rPr>
                <w:rFonts w:hint="eastAsia" w:hAnsi="宋体"/>
              </w:rPr>
              <w:t>4.7</w:t>
            </w:r>
          </w:p>
        </w:tc>
        <w:tc>
          <w:tcPr>
            <w:tcW w:w="1843" w:type="dxa"/>
            <w:vAlign w:val="center"/>
          </w:tcPr>
          <w:p>
            <w:pPr>
              <w:pStyle w:val="26"/>
              <w:spacing w:line="360" w:lineRule="auto"/>
              <w:jc w:val="center"/>
              <w:rPr>
                <w:rFonts w:hAnsi="宋体"/>
              </w:rPr>
            </w:pPr>
            <w:r>
              <w:rPr>
                <w:rFonts w:hint="eastAsia" w:hAnsi="宋体"/>
              </w:rPr>
              <w:t>投标人资格要求</w:t>
            </w:r>
          </w:p>
        </w:tc>
        <w:tc>
          <w:tcPr>
            <w:tcW w:w="6520" w:type="dxa"/>
            <w:vAlign w:val="center"/>
          </w:tcPr>
          <w:p>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6"/>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6</w:t>
            </w:r>
          </w:p>
        </w:tc>
        <w:tc>
          <w:tcPr>
            <w:tcW w:w="1038" w:type="dxa"/>
            <w:vAlign w:val="center"/>
          </w:tcPr>
          <w:p>
            <w:pPr>
              <w:pStyle w:val="26"/>
              <w:spacing w:line="360" w:lineRule="auto"/>
              <w:jc w:val="center"/>
              <w:rPr>
                <w:rFonts w:hAnsi="宋体"/>
              </w:rPr>
            </w:pPr>
            <w:r>
              <w:rPr>
                <w:rFonts w:hint="eastAsia" w:hAnsi="宋体"/>
              </w:rPr>
              <w:t>4.8</w:t>
            </w:r>
          </w:p>
        </w:tc>
        <w:tc>
          <w:tcPr>
            <w:tcW w:w="1843" w:type="dxa"/>
            <w:vAlign w:val="center"/>
          </w:tcPr>
          <w:p>
            <w:pPr>
              <w:pStyle w:val="26"/>
              <w:spacing w:line="360" w:lineRule="auto"/>
              <w:jc w:val="center"/>
              <w:rPr>
                <w:rFonts w:hAnsi="宋体"/>
              </w:rPr>
            </w:pPr>
            <w:r>
              <w:rPr>
                <w:rFonts w:hint="eastAsia" w:hAnsi="宋体"/>
              </w:rPr>
              <w:t>联合体投标</w:t>
            </w:r>
          </w:p>
        </w:tc>
        <w:tc>
          <w:tcPr>
            <w:tcW w:w="6520" w:type="dxa"/>
          </w:tcPr>
          <w:p>
            <w:pPr>
              <w:pStyle w:val="26"/>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7</w:t>
            </w:r>
          </w:p>
        </w:tc>
        <w:tc>
          <w:tcPr>
            <w:tcW w:w="1038" w:type="dxa"/>
            <w:vAlign w:val="center"/>
          </w:tcPr>
          <w:p>
            <w:pPr>
              <w:pStyle w:val="26"/>
              <w:spacing w:line="360" w:lineRule="auto"/>
              <w:jc w:val="center"/>
              <w:rPr>
                <w:rFonts w:hAnsi="宋体"/>
              </w:rPr>
            </w:pPr>
            <w:r>
              <w:rPr>
                <w:rFonts w:hint="eastAsia" w:hAnsi="宋体"/>
              </w:rPr>
              <w:t>6.1</w:t>
            </w:r>
          </w:p>
        </w:tc>
        <w:tc>
          <w:tcPr>
            <w:tcW w:w="1843" w:type="dxa"/>
            <w:vAlign w:val="center"/>
          </w:tcPr>
          <w:p>
            <w:pPr>
              <w:pStyle w:val="26"/>
              <w:spacing w:line="360" w:lineRule="auto"/>
              <w:jc w:val="center"/>
              <w:rPr>
                <w:rFonts w:hAnsi="宋体"/>
              </w:rPr>
            </w:pPr>
            <w:r>
              <w:rPr>
                <w:rFonts w:hint="eastAsia" w:hAnsi="宋体"/>
              </w:rPr>
              <w:t>踏勘现场</w:t>
            </w:r>
          </w:p>
        </w:tc>
        <w:tc>
          <w:tcPr>
            <w:tcW w:w="6520" w:type="dxa"/>
          </w:tcPr>
          <w:p>
            <w:pPr>
              <w:pStyle w:val="26"/>
              <w:spacing w:line="360" w:lineRule="auto"/>
              <w:rPr>
                <w:rFonts w:hint="eastAsia" w:hAnsi="宋体"/>
                <w:lang w:val="en-US" w:eastAsia="zh-CN"/>
              </w:rPr>
            </w:pPr>
            <w:r>
              <w:rPr>
                <w:rFonts w:hint="eastAsia" w:hAnsi="宋体"/>
              </w:rPr>
              <w:t>统一组织，</w:t>
            </w:r>
            <w:r>
              <w:rPr>
                <w:rFonts w:hint="eastAsia" w:hAnsi="宋体"/>
                <w:lang w:val="en-US" w:eastAsia="zh-CN"/>
              </w:rPr>
              <w:t>踏勘日期：</w:t>
            </w:r>
            <w:r>
              <w:rPr>
                <w:rFonts w:hint="eastAsia" w:hAnsi="宋体"/>
                <w:b/>
                <w:bCs/>
                <w:u w:val="single"/>
                <w:lang w:val="en-US" w:eastAsia="zh-CN"/>
              </w:rPr>
              <w:t>2023年03月13日15点00分</w:t>
            </w:r>
          </w:p>
          <w:p>
            <w:pPr>
              <w:pStyle w:val="453"/>
              <w:adjustRightInd w:val="0"/>
              <w:snapToGrid w:val="0"/>
              <w:spacing w:before="0" w:beforeAutospacing="0" w:after="0" w:afterAutospacing="0" w:line="360" w:lineRule="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地址：深圳市宝安区新桥街道芙蓉工业区芙蓉二路1号1栋</w:t>
            </w:r>
          </w:p>
          <w:p>
            <w:pPr>
              <w:pStyle w:val="26"/>
              <w:spacing w:line="360" w:lineRule="auto"/>
              <w:rPr>
                <w:rFonts w:hAnsi="宋体"/>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万工，0755-27722241-3666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8</w:t>
            </w:r>
          </w:p>
        </w:tc>
        <w:tc>
          <w:tcPr>
            <w:tcW w:w="1038" w:type="dxa"/>
            <w:vAlign w:val="center"/>
          </w:tcPr>
          <w:p>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6"/>
              <w:spacing w:line="360" w:lineRule="auto"/>
              <w:jc w:val="center"/>
              <w:rPr>
                <w:rFonts w:hAnsi="宋体"/>
              </w:rPr>
            </w:pPr>
            <w:r>
              <w:rPr>
                <w:rFonts w:hint="eastAsia" w:hAnsi="宋体"/>
              </w:rPr>
              <w:t>投标有效期</w:t>
            </w:r>
          </w:p>
        </w:tc>
        <w:tc>
          <w:tcPr>
            <w:tcW w:w="6520" w:type="dxa"/>
          </w:tcPr>
          <w:p>
            <w:pPr>
              <w:pStyle w:val="26"/>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9</w:t>
            </w:r>
          </w:p>
        </w:tc>
        <w:tc>
          <w:tcPr>
            <w:tcW w:w="1038" w:type="dxa"/>
            <w:vAlign w:val="center"/>
          </w:tcPr>
          <w:p>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6"/>
              <w:spacing w:line="360" w:lineRule="auto"/>
              <w:jc w:val="center"/>
              <w:rPr>
                <w:rFonts w:hAnsi="宋体"/>
              </w:rPr>
            </w:pPr>
            <w:r>
              <w:rPr>
                <w:rFonts w:hint="eastAsia" w:hAnsi="宋体"/>
              </w:rPr>
              <w:t>10</w:t>
            </w:r>
          </w:p>
        </w:tc>
        <w:tc>
          <w:tcPr>
            <w:tcW w:w="1038" w:type="dxa"/>
            <w:vAlign w:val="center"/>
          </w:tcPr>
          <w:p>
            <w:pPr>
              <w:pStyle w:val="26"/>
              <w:spacing w:line="360" w:lineRule="auto"/>
              <w:jc w:val="center"/>
              <w:rPr>
                <w:rFonts w:hAnsi="宋体"/>
              </w:rPr>
            </w:pPr>
            <w:r>
              <w:rPr>
                <w:rFonts w:hint="eastAsia" w:hAnsi="宋体"/>
              </w:rPr>
              <w:t>16.1</w:t>
            </w:r>
          </w:p>
        </w:tc>
        <w:tc>
          <w:tcPr>
            <w:tcW w:w="1843" w:type="dxa"/>
            <w:vAlign w:val="center"/>
          </w:tcPr>
          <w:p>
            <w:pPr>
              <w:pStyle w:val="26"/>
              <w:spacing w:line="360" w:lineRule="auto"/>
              <w:jc w:val="center"/>
              <w:rPr>
                <w:rFonts w:hAnsi="宋体"/>
              </w:rPr>
            </w:pPr>
            <w:r>
              <w:rPr>
                <w:rFonts w:hint="eastAsia" w:hAnsi="宋体"/>
              </w:rPr>
              <w:t>投标预备会</w:t>
            </w:r>
          </w:p>
          <w:p>
            <w:pPr>
              <w:pStyle w:val="26"/>
              <w:spacing w:line="360" w:lineRule="auto"/>
              <w:jc w:val="center"/>
              <w:rPr>
                <w:rFonts w:hAnsi="宋体"/>
              </w:rPr>
            </w:pPr>
            <w:r>
              <w:rPr>
                <w:rFonts w:hint="eastAsia" w:hAnsi="宋体"/>
              </w:rPr>
              <w:t>（答疑会）</w:t>
            </w:r>
          </w:p>
        </w:tc>
        <w:tc>
          <w:tcPr>
            <w:tcW w:w="6520" w:type="dxa"/>
            <w:vAlign w:val="center"/>
          </w:tcPr>
          <w:p>
            <w:pPr>
              <w:pStyle w:val="26"/>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11</w:t>
            </w:r>
          </w:p>
        </w:tc>
        <w:tc>
          <w:tcPr>
            <w:tcW w:w="1038" w:type="dxa"/>
            <w:vAlign w:val="center"/>
          </w:tcPr>
          <w:p>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6"/>
              <w:spacing w:line="360" w:lineRule="auto"/>
              <w:jc w:val="center"/>
              <w:rPr>
                <w:rFonts w:hAnsi="宋体"/>
              </w:rPr>
            </w:pPr>
            <w:r>
              <w:rPr>
                <w:rFonts w:hint="eastAsia" w:hAnsi="宋体"/>
              </w:rPr>
              <w:t>投标文件份数</w:t>
            </w:r>
          </w:p>
        </w:tc>
        <w:tc>
          <w:tcPr>
            <w:tcW w:w="6520" w:type="dxa"/>
          </w:tcPr>
          <w:p>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（内容为投标文件正本盖章扫描件）。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12</w:t>
            </w:r>
          </w:p>
        </w:tc>
        <w:tc>
          <w:tcPr>
            <w:tcW w:w="1038" w:type="dxa"/>
            <w:vAlign w:val="center"/>
          </w:tcPr>
          <w:p>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6"/>
              <w:spacing w:line="360" w:lineRule="auto"/>
              <w:jc w:val="center"/>
              <w:rPr>
                <w:rFonts w:hAnsi="宋体"/>
              </w:rPr>
            </w:pPr>
            <w:r>
              <w:rPr>
                <w:rFonts w:hint="eastAsia" w:hAnsi="宋体"/>
              </w:rPr>
              <w:t>开标</w:t>
            </w:r>
          </w:p>
        </w:tc>
        <w:tc>
          <w:tcPr>
            <w:tcW w:w="6520" w:type="dxa"/>
          </w:tcPr>
          <w:p>
            <w:pPr>
              <w:pStyle w:val="26"/>
              <w:spacing w:line="360" w:lineRule="auto"/>
              <w:rPr>
                <w:rFonts w:hAnsi="宋体"/>
                <w:b/>
              </w:rPr>
            </w:pPr>
            <w:r>
              <w:rPr>
                <w:rFonts w:hAnsi="宋体"/>
                <w:b/>
              </w:rPr>
              <w:t>时间：</w:t>
            </w:r>
            <w:r>
              <w:rPr>
                <w:rFonts w:hint="eastAsia" w:hAnsi="宋体"/>
                <w:b/>
                <w:snapToGrid w:val="0"/>
                <w:szCs w:val="18"/>
              </w:rPr>
              <w:t>2023年</w:t>
            </w:r>
            <w:r>
              <w:rPr>
                <w:rFonts w:hint="eastAsia" w:hAnsi="宋体"/>
                <w:b/>
                <w:snapToGrid w:val="0"/>
                <w:szCs w:val="18"/>
                <w:lang w:val="en-US" w:eastAsia="zh-CN"/>
              </w:rPr>
              <w:t>03</w:t>
            </w:r>
            <w:r>
              <w:rPr>
                <w:rFonts w:hint="eastAsia" w:hAnsi="宋体"/>
                <w:b/>
                <w:snapToGrid w:val="0"/>
                <w:szCs w:val="18"/>
              </w:rPr>
              <w:t>月</w:t>
            </w:r>
            <w:r>
              <w:rPr>
                <w:rFonts w:hint="eastAsia" w:hAnsi="宋体"/>
                <w:b/>
                <w:snapToGrid w:val="0"/>
                <w:szCs w:val="18"/>
                <w:lang w:val="en-US" w:eastAsia="zh-CN"/>
              </w:rPr>
              <w:t>14</w:t>
            </w:r>
            <w:r>
              <w:rPr>
                <w:rFonts w:hint="eastAsia" w:hAnsi="宋体"/>
                <w:b/>
                <w:snapToGrid w:val="0"/>
                <w:szCs w:val="18"/>
              </w:rPr>
              <w:t>日</w:t>
            </w:r>
            <w:r>
              <w:rPr>
                <w:rFonts w:hint="eastAsia" w:hAnsi="宋体"/>
                <w:b/>
                <w:snapToGrid w:val="0"/>
                <w:szCs w:val="18"/>
                <w:lang w:val="en-US" w:eastAsia="zh-CN"/>
              </w:rPr>
              <w:t>09</w:t>
            </w:r>
            <w:r>
              <w:rPr>
                <w:rFonts w:hint="eastAsia" w:hAnsi="宋体"/>
                <w:b/>
                <w:snapToGrid w:val="0"/>
                <w:szCs w:val="18"/>
              </w:rPr>
              <w:t>点30分</w:t>
            </w:r>
            <w:r>
              <w:rPr>
                <w:rFonts w:hAnsi="宋体"/>
                <w:b/>
              </w:rPr>
              <w:t>（北京时间）</w:t>
            </w:r>
          </w:p>
          <w:p>
            <w:pPr>
              <w:pStyle w:val="26"/>
              <w:spacing w:line="360" w:lineRule="auto"/>
              <w:rPr>
                <w:rFonts w:hAnsi="宋体"/>
              </w:rPr>
            </w:pPr>
            <w:r>
              <w:rPr>
                <w:rFonts w:hAnsi="宋体"/>
              </w:rPr>
              <w:t>地点：</w:t>
            </w:r>
            <w:r>
              <w:rPr>
                <w:rFonts w:hint="eastAsia" w:hAnsi="宋体"/>
                <w:snapToGrid w:val="0"/>
              </w:rPr>
              <w:t>深圳市福田区民田路171号新华保险大厦903中正招标会议室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13</w:t>
            </w:r>
          </w:p>
        </w:tc>
        <w:tc>
          <w:tcPr>
            <w:tcW w:w="1038" w:type="dxa"/>
            <w:vAlign w:val="center"/>
          </w:tcPr>
          <w:p>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投标截止时间</w:t>
            </w:r>
          </w:p>
        </w:tc>
        <w:tc>
          <w:tcPr>
            <w:tcW w:w="6520" w:type="dxa"/>
          </w:tcPr>
          <w:p>
            <w:pPr>
              <w:pStyle w:val="26"/>
              <w:spacing w:line="360" w:lineRule="auto"/>
              <w:rPr>
                <w:rFonts w:hAnsi="宋体"/>
                <w:b/>
              </w:rPr>
            </w:pPr>
            <w:r>
              <w:rPr>
                <w:rFonts w:hint="eastAsia" w:hAnsi="宋体"/>
                <w:b/>
                <w:snapToGrid w:val="0"/>
                <w:szCs w:val="18"/>
              </w:rPr>
              <w:t>2023年</w:t>
            </w:r>
            <w:r>
              <w:rPr>
                <w:rFonts w:hint="eastAsia" w:hAnsi="宋体"/>
                <w:b/>
                <w:snapToGrid w:val="0"/>
                <w:szCs w:val="18"/>
                <w:lang w:val="en-US" w:eastAsia="zh-CN"/>
              </w:rPr>
              <w:t>03</w:t>
            </w:r>
            <w:r>
              <w:rPr>
                <w:rFonts w:hint="eastAsia" w:hAnsi="宋体"/>
                <w:b/>
                <w:snapToGrid w:val="0"/>
                <w:szCs w:val="18"/>
              </w:rPr>
              <w:t>月</w:t>
            </w:r>
            <w:r>
              <w:rPr>
                <w:rFonts w:hint="eastAsia" w:hAnsi="宋体"/>
                <w:b/>
                <w:snapToGrid w:val="0"/>
                <w:szCs w:val="18"/>
                <w:lang w:val="en-US" w:eastAsia="zh-CN"/>
              </w:rPr>
              <w:t>14</w:t>
            </w:r>
            <w:r>
              <w:rPr>
                <w:rFonts w:hint="eastAsia" w:hAnsi="宋体"/>
                <w:b/>
                <w:snapToGrid w:val="0"/>
                <w:szCs w:val="18"/>
              </w:rPr>
              <w:t>日</w:t>
            </w:r>
            <w:r>
              <w:rPr>
                <w:rFonts w:hint="eastAsia" w:hAnsi="宋体"/>
                <w:b/>
                <w:snapToGrid w:val="0"/>
                <w:szCs w:val="18"/>
                <w:lang w:val="en-US" w:eastAsia="zh-CN"/>
              </w:rPr>
              <w:t>09</w:t>
            </w:r>
            <w:r>
              <w:rPr>
                <w:rFonts w:hint="eastAsia" w:hAnsi="宋体"/>
                <w:b/>
                <w:snapToGrid w:val="0"/>
                <w:szCs w:val="18"/>
              </w:rPr>
              <w:t>点30分</w:t>
            </w:r>
            <w:r>
              <w:rPr>
                <w:rFonts w:hint="eastAsia" w:hAnsi="宋体"/>
                <w:b/>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14</w:t>
            </w:r>
          </w:p>
        </w:tc>
        <w:tc>
          <w:tcPr>
            <w:tcW w:w="1038" w:type="dxa"/>
            <w:vAlign w:val="center"/>
          </w:tcPr>
          <w:p>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6"/>
              <w:spacing w:line="360" w:lineRule="auto"/>
              <w:jc w:val="center"/>
              <w:rPr>
                <w:rFonts w:hAnsi="宋体"/>
              </w:rPr>
            </w:pPr>
            <w:r>
              <w:rPr>
                <w:rFonts w:hint="eastAsia" w:hAnsi="宋体"/>
              </w:rPr>
              <w:t>评标办法</w:t>
            </w:r>
          </w:p>
        </w:tc>
        <w:tc>
          <w:tcPr>
            <w:tcW w:w="6520" w:type="dxa"/>
          </w:tcPr>
          <w:p>
            <w:pPr>
              <w:pStyle w:val="26"/>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15</w:t>
            </w:r>
          </w:p>
        </w:tc>
        <w:tc>
          <w:tcPr>
            <w:tcW w:w="1038" w:type="dxa"/>
            <w:vAlign w:val="center"/>
          </w:tcPr>
          <w:p>
            <w:pPr>
              <w:pStyle w:val="26"/>
              <w:spacing w:line="360" w:lineRule="auto"/>
              <w:jc w:val="center"/>
              <w:rPr>
                <w:rFonts w:hAnsi="宋体"/>
              </w:rPr>
            </w:pPr>
            <w:r>
              <w:rPr>
                <w:rFonts w:hint="eastAsia" w:hAnsi="宋体"/>
              </w:rPr>
              <w:t>33</w:t>
            </w:r>
            <w:r>
              <w:rPr>
                <w:rFonts w:hAnsi="宋体"/>
              </w:rPr>
              <w:t>.1</w:t>
            </w:r>
          </w:p>
        </w:tc>
        <w:tc>
          <w:tcPr>
            <w:tcW w:w="1843" w:type="dxa"/>
            <w:vAlign w:val="center"/>
          </w:tcPr>
          <w:p>
            <w:pPr>
              <w:pStyle w:val="26"/>
              <w:spacing w:line="360" w:lineRule="auto"/>
              <w:jc w:val="center"/>
              <w:rPr>
                <w:snapToGrid w:val="0"/>
                <w:kern w:val="0"/>
              </w:rPr>
            </w:pPr>
            <w:r>
              <w:rPr>
                <w:rFonts w:hint="eastAsia"/>
                <w:snapToGrid w:val="0"/>
                <w:kern w:val="0"/>
              </w:rPr>
              <w:t>履约保证金</w:t>
            </w:r>
          </w:p>
        </w:tc>
        <w:tc>
          <w:tcPr>
            <w:tcW w:w="6520" w:type="dxa"/>
          </w:tcPr>
          <w:p>
            <w:pPr>
              <w:pStyle w:val="26"/>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16</w:t>
            </w:r>
          </w:p>
        </w:tc>
        <w:tc>
          <w:tcPr>
            <w:tcW w:w="1038" w:type="dxa"/>
            <w:vAlign w:val="center"/>
          </w:tcPr>
          <w:p>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6"/>
              <w:spacing w:line="360" w:lineRule="auto"/>
              <w:jc w:val="center"/>
              <w:rPr>
                <w:rFonts w:hAnsi="宋体"/>
              </w:rPr>
            </w:pPr>
            <w:r>
              <w:rPr>
                <w:rFonts w:hint="eastAsia" w:hAnsi="宋体"/>
              </w:rPr>
              <w:t>中标服务费</w:t>
            </w:r>
          </w:p>
        </w:tc>
        <w:tc>
          <w:tcPr>
            <w:tcW w:w="6520" w:type="dxa"/>
          </w:tcPr>
          <w:p>
            <w:pPr>
              <w:pStyle w:val="26"/>
              <w:spacing w:line="360" w:lineRule="auto"/>
              <w:rPr>
                <w:rFonts w:hAnsi="宋体"/>
              </w:rPr>
            </w:pPr>
            <w:r>
              <w:rPr>
                <w:rFonts w:hint="eastAsia" w:asciiTheme="minorEastAsia" w:hAnsiTheme="minorEastAsia" w:eastAsiaTheme="minorEastAsia"/>
                <w:szCs w:val="21"/>
              </w:rPr>
              <w:t>按深财购[2018]27号文件的代理费用参考标准（</w:t>
            </w:r>
            <w:r>
              <w:rPr>
                <w:rFonts w:hint="eastAsia" w:asciiTheme="minorEastAsia" w:hAnsiTheme="minorEastAsia" w:eastAsiaTheme="minorEastAsia"/>
              </w:rPr>
              <w:t>详见《投标人须知》</w:t>
            </w:r>
            <w:r>
              <w:rPr>
                <w:rFonts w:hint="eastAsia" w:asciiTheme="minorEastAsia" w:hAnsiTheme="minorEastAsia" w:eastAsiaTheme="minorEastAsia"/>
                <w:szCs w:val="21"/>
              </w:rPr>
              <w:t>），向中标供应商收取</w:t>
            </w:r>
            <w:r>
              <w:rPr>
                <w:rFonts w:hint="eastAsia" w:asciiTheme="minorEastAsia" w:hAnsiTheme="minorEastAsia" w:eastAsiaTheme="minorEastAsia"/>
              </w:rPr>
              <w:t>，最低收取人民币7000元。</w:t>
            </w:r>
          </w:p>
        </w:tc>
      </w:tr>
    </w:tbl>
    <w:p>
      <w:pPr>
        <w:pStyle w:val="3"/>
        <w:spacing w:before="0" w:after="0"/>
        <w:rPr>
          <w:sz w:val="21"/>
          <w:szCs w:val="21"/>
        </w:rPr>
      </w:pPr>
    </w:p>
    <w:p>
      <w:pPr>
        <w:pStyle w:val="3"/>
      </w:pPr>
      <w:bookmarkStart w:id="18" w:name="_Toc110410369"/>
      <w:r>
        <w:rPr>
          <w:rFonts w:hint="eastAsia"/>
        </w:rPr>
        <w:t xml:space="preserve">第六章 </w:t>
      </w:r>
      <w:bookmarkStart w:id="94" w:name="_GoBack"/>
      <w:r>
        <w:rPr>
          <w:rFonts w:hint="eastAsia"/>
        </w:rPr>
        <w:t xml:space="preserve"> 投标人须</w:t>
      </w:r>
      <w:bookmarkEnd w:id="94"/>
      <w:r>
        <w:rPr>
          <w:rFonts w:hint="eastAsia"/>
        </w:rPr>
        <w:t>知</w:t>
      </w:r>
      <w:bookmarkEnd w:id="18"/>
    </w:p>
    <w:p>
      <w:pPr>
        <w:pStyle w:val="5"/>
        <w:spacing w:before="0" w:after="0"/>
      </w:pPr>
      <w:bookmarkStart w:id="19" w:name="_Toc1104103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采购人和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将按前附表第7项的规定，组织投标人对现场及周围环境进行踏勘，以便投标人获取须自己负责的有关编制投标文件和签署合同所需的所有资料。踏勘现场所发生的费用由投标人自己承担。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5"/>
        <w:spacing w:before="0" w:after="0"/>
      </w:pPr>
      <w:bookmarkStart w:id="21" w:name="_Toc1104103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5"/>
        <w:spacing w:before="0" w:after="0"/>
      </w:pPr>
      <w:bookmarkStart w:id="22" w:name="q6"/>
      <w:bookmarkEnd w:id="22"/>
      <w:bookmarkStart w:id="23" w:name="_Toc1104103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投标报价应为到指定地点价，以人民币为结算单位。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为了便于投标文件保存，需提交一份投标文件备份光盘（或U盘，内容为投标文件正本盖章扫描件）。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17.6  投标文件不符合上述规定，为无效投标。</w:t>
      </w:r>
    </w:p>
    <w:p>
      <w:pPr>
        <w:adjustRightInd w:val="0"/>
        <w:spacing w:line="360" w:lineRule="auto"/>
        <w:rPr>
          <w:rFonts w:asciiTheme="minorEastAsia" w:hAnsiTheme="minorEastAsia" w:eastAsiaTheme="minorEastAsia"/>
          <w:snapToGrid w:val="0"/>
          <w:kern w:val="0"/>
        </w:rPr>
      </w:pPr>
    </w:p>
    <w:p>
      <w:pPr>
        <w:pStyle w:val="5"/>
        <w:spacing w:before="0" w:after="0"/>
      </w:pPr>
      <w:bookmarkStart w:id="24" w:name="q7"/>
      <w:bookmarkEnd w:id="24"/>
      <w:bookmarkStart w:id="25" w:name="_Toc1104103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5"/>
        <w:spacing w:before="0" w:after="0"/>
      </w:pPr>
      <w:bookmarkStart w:id="27" w:name="q8"/>
      <w:bookmarkEnd w:id="27"/>
      <w:bookmarkStart w:id="28" w:name="_Toc1104103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zCs w:val="21"/>
        </w:rPr>
        <w:t xml:space="preserve">    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在对投标文件进行详细评估之前，评标委员会将依据投标人提供的“资格证明文件”审查投标人的财务、技术和生产能力。如果确定投标人无资格履行合同，其投标将被拒绝。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24.8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24.9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24.10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评标方法和标准”所述进行详细评审，并推荐中标候选人。</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5"/>
        <w:spacing w:before="0" w:after="0"/>
      </w:pPr>
      <w:bookmarkStart w:id="30" w:name="_Toc1104103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中标（成交）金额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spacing w:line="360" w:lineRule="auto"/>
        <w:ind w:firstLine="1044" w:firstLineChars="200"/>
        <w:rPr>
          <w:b/>
          <w:sz w:val="52"/>
          <w:szCs w:val="52"/>
        </w:rPr>
      </w:pPr>
    </w:p>
    <w:p>
      <w:pPr>
        <w:pStyle w:val="5"/>
        <w:spacing w:before="0" w:after="0"/>
      </w:pPr>
      <w:bookmarkStart w:id="31" w:name="_Toc1104103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p/>
    <w:p/>
    <w:p/>
    <w:p/>
    <w:p/>
    <w:p/>
    <w:p/>
    <w:p/>
    <w:p/>
    <w:p/>
    <w:p/>
    <w:p>
      <w:pPr>
        <w:pStyle w:val="3"/>
      </w:pPr>
      <w:bookmarkStart w:id="34" w:name="_Toc110410377"/>
      <w:r>
        <w:rPr>
          <w:rFonts w:hint="eastAsia"/>
        </w:rPr>
        <w:t>第七章  投标文件格式</w:t>
      </w:r>
      <w:bookmarkEnd w:id="34"/>
    </w:p>
    <w:p>
      <w:pPr>
        <w:jc w:val="center"/>
        <w:rPr>
          <w:b/>
          <w:sz w:val="52"/>
          <w:szCs w:val="52"/>
        </w:rPr>
      </w:pPr>
    </w:p>
    <w:p>
      <w:pPr>
        <w:pStyle w:val="5"/>
        <w:spacing w:line="400" w:lineRule="exact"/>
        <w:rPr>
          <w:rFonts w:ascii="仿宋" w:hAnsi="仿宋" w:eastAsia="仿宋"/>
        </w:rPr>
      </w:pPr>
      <w:bookmarkStart w:id="35" w:name="_Toc11772"/>
      <w:bookmarkStart w:id="36" w:name="_Toc44690431"/>
      <w:bookmarkStart w:id="37" w:name="_Toc31468"/>
      <w:bookmarkStart w:id="38" w:name="_Toc44690704"/>
      <w:bookmarkStart w:id="39" w:name="_Toc14934"/>
      <w:bookmarkStart w:id="40" w:name="_Toc44691395"/>
      <w:bookmarkStart w:id="41" w:name="_Toc44691163"/>
      <w:bookmarkStart w:id="42" w:name="_Toc110410378"/>
      <w:bookmarkStart w:id="43" w:name="_Toc25194"/>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投标文件中，复印件或扫描件应加盖公章。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3.4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5" w:firstLineChars="529"/>
        <w:rPr>
          <w:b/>
          <w:bCs/>
          <w:sz w:val="24"/>
        </w:rPr>
      </w:pPr>
      <w:r>
        <w:rPr>
          <w:rFonts w:hint="eastAsia"/>
          <w:b/>
          <w:bCs/>
          <w:sz w:val="24"/>
        </w:rPr>
        <w:t>法定代表人或</w:t>
      </w:r>
    </w:p>
    <w:p>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rPr>
          <w:b/>
          <w:bCs/>
        </w:rPr>
      </w:pPr>
      <w:bookmarkStart w:id="44" w:name="_投标文件格式（第一册）"/>
      <w:bookmarkEnd w:id="44"/>
      <w:bookmarkStart w:id="45" w:name="q0"/>
      <w:r>
        <w:rPr>
          <w:rFonts w:ascii="仿宋" w:hAnsi="仿宋" w:eastAsia="仿宋"/>
        </w:rPr>
        <w:br w:type="page"/>
      </w:r>
    </w:p>
    <w:p>
      <w:pPr>
        <w:pStyle w:val="5"/>
        <w:spacing w:line="400" w:lineRule="exact"/>
        <w:rPr>
          <w:rFonts w:ascii="仿宋" w:hAnsi="仿宋" w:eastAsia="仿宋"/>
        </w:rPr>
      </w:pPr>
    </w:p>
    <w:p>
      <w:pPr>
        <w:pStyle w:val="5"/>
        <w:spacing w:line="400" w:lineRule="exact"/>
        <w:rPr>
          <w:rFonts w:ascii="仿宋" w:hAnsi="仿宋" w:eastAsia="仿宋"/>
        </w:rPr>
      </w:pPr>
      <w:bookmarkStart w:id="46" w:name="_Toc110410379"/>
      <w:r>
        <w:rPr>
          <w:rFonts w:hint="eastAsia" w:ascii="仿宋" w:hAnsi="仿宋" w:eastAsia="仿宋"/>
        </w:rPr>
        <w:t>投标文件格式</w:t>
      </w:r>
      <w:bookmarkEnd w:id="46"/>
    </w:p>
    <w:bookmarkEnd w:id="45"/>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r>
        <w:br w:type="page"/>
      </w:r>
    </w:p>
    <w:p>
      <w:pPr>
        <w:adjustRightInd w:val="0"/>
        <w:snapToGrid w:val="0"/>
        <w:spacing w:line="300" w:lineRule="auto"/>
        <w:jc w:val="center"/>
      </w:pPr>
    </w:p>
    <w:p>
      <w:pPr>
        <w:pStyle w:val="5"/>
        <w:spacing w:line="400" w:lineRule="exact"/>
        <w:rPr>
          <w:rFonts w:ascii="仿宋" w:hAnsi="仿宋" w:eastAsia="仿宋"/>
        </w:rPr>
      </w:pPr>
      <w:bookmarkStart w:id="48" w:name="_Toc1104103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2"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2"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Pr>
        <w:widowControl/>
        <w:jc w:val="left"/>
      </w:pPr>
      <w:r>
        <w:br w:type="page"/>
      </w:r>
    </w:p>
    <w:p/>
    <w:p>
      <w:pPr>
        <w:pStyle w:val="5"/>
        <w:spacing w:line="400" w:lineRule="exact"/>
        <w:rPr>
          <w:rFonts w:ascii="仿宋" w:hAnsi="仿宋" w:eastAsia="仿宋"/>
        </w:rPr>
      </w:pPr>
      <w:bookmarkStart w:id="50" w:name="_Toc1104103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188"/>
        <w:gridCol w:w="2835"/>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综合评分指引（参见第四章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188"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835"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188"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188" w:type="dxa"/>
          </w:tcPr>
          <w:p>
            <w:pPr>
              <w:spacing w:line="360" w:lineRule="exact"/>
              <w:jc w:val="center"/>
              <w:rPr>
                <w:rFonts w:ascii="宋体" w:hAnsi="宋体"/>
                <w:szCs w:val="21"/>
              </w:rPr>
            </w:pPr>
            <w:r>
              <w:rPr>
                <w:rFonts w:hint="eastAsia" w:ascii="宋体" w:hAnsi="宋体"/>
                <w:szCs w:val="21"/>
              </w:rPr>
              <w:t>1.……</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2.……</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188" w:type="dxa"/>
          </w:tcPr>
          <w:p>
            <w:pPr>
              <w:spacing w:line="360" w:lineRule="exact"/>
              <w:jc w:val="center"/>
              <w:rPr>
                <w:rFonts w:ascii="宋体" w:hAnsi="宋体"/>
                <w:szCs w:val="21"/>
              </w:rPr>
            </w:pPr>
            <w:r>
              <w:rPr>
                <w:rFonts w:hint="eastAsia" w:ascii="宋体" w:hAnsi="宋体"/>
                <w:szCs w:val="21"/>
              </w:rPr>
              <w:t>1.……</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2.……</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pStyle w:val="26"/>
        <w:spacing w:line="360" w:lineRule="auto"/>
        <w:rPr>
          <w:rFonts w:hAnsi="宋体"/>
          <w:b/>
          <w:szCs w:val="21"/>
        </w:rPr>
      </w:pPr>
    </w:p>
    <w:p>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pStyle w:val="4"/>
        <w:jc w:val="center"/>
      </w:pPr>
    </w:p>
    <w:p/>
    <w:p/>
    <w:p/>
    <w:p/>
    <w:p/>
    <w:p/>
    <w:p/>
    <w:p/>
    <w:p/>
    <w:p/>
    <w:p/>
    <w:p>
      <w:pPr>
        <w:widowControl/>
        <w:jc w:val="left"/>
      </w:pPr>
      <w:r>
        <w:br w:type="page"/>
      </w:r>
    </w:p>
    <w:p/>
    <w:p>
      <w:pPr>
        <w:pStyle w:val="7"/>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bookmarkStart w:id="51" w:name="_Toc44690432"/>
      <w:bookmarkStart w:id="52" w:name="_Toc44691164"/>
      <w:bookmarkStart w:id="53" w:name="_Toc44690705"/>
      <w:bookmarkStart w:id="54" w:name="_Toc44691396"/>
      <w:r>
        <w:rPr>
          <w:rFonts w:hint="eastAsia" w:asciiTheme="minorEastAsia" w:hAnsiTheme="minorEastAsia" w:eastAsiaTheme="minorEastAsia"/>
          <w:sz w:val="24"/>
        </w:rPr>
        <w:t>格式1  投标人资格证明文件</w:t>
      </w:r>
      <w:bookmarkEnd w:id="51"/>
      <w:bookmarkEnd w:id="52"/>
      <w:bookmarkEnd w:id="53"/>
      <w:bookmarkEnd w:id="54"/>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w:t>
      </w:r>
      <w:r>
        <w:rPr>
          <w:rFonts w:hint="eastAsia" w:asciiTheme="minorEastAsia" w:hAnsiTheme="minorEastAsia" w:eastAsiaTheme="minorEastAsia"/>
          <w:snapToGrid w:val="0"/>
        </w:rPr>
        <w:t>国家企业信用信息公示系统（https://www.gsxt.gov.cn/index.html）或机关赋码和事业单位登记管理网（http://www.gjsy.gov.cn/sydwfrxxcx/）或全国社会组织信用信息公示平台（https://xxgs.chinanpo.mca.gov.cn/gsxt/newList）网站供应商信息查询截图</w:t>
      </w:r>
    </w:p>
    <w:p>
      <w:pPr>
        <w:adjustRightInd w:val="0"/>
        <w:snapToGrid w:val="0"/>
        <w:spacing w:line="360" w:lineRule="auto"/>
        <w:ind w:firstLine="424" w:firstLineChars="202"/>
        <w:rPr>
          <w:rFonts w:ascii="宋体" w:hAnsi="宋体"/>
        </w:rPr>
      </w:pPr>
      <w:r>
        <w:rPr>
          <w:rFonts w:hint="eastAsia" w:ascii="宋体" w:hAnsi="宋体"/>
        </w:rPr>
        <w:t>4、其它资格证明材料（如有，按第一章投标邀请“申请人的资格要求”提供）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6"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1.我单位满足《中华人民共和国政府采购法》第二十二条规定的条件。</w:t>
      </w:r>
    </w:p>
    <w:p>
      <w:pPr>
        <w:spacing w:line="40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4.我单位承诺不非法转包或分包。</w:t>
      </w:r>
    </w:p>
    <w:p>
      <w:pPr>
        <w:spacing w:line="400" w:lineRule="exact"/>
        <w:ind w:firstLine="420" w:firstLineChars="200"/>
        <w:rPr>
          <w:rFonts w:ascii="宋体" w:hAnsi="宋体"/>
          <w:szCs w:val="21"/>
        </w:rPr>
      </w:pPr>
      <w:r>
        <w:rPr>
          <w:rFonts w:hint="eastAsia" w:ascii="宋体" w:hAnsi="宋体"/>
          <w:szCs w:val="21"/>
        </w:rPr>
        <w:t>5.我单位本招标项目所提供的货物或服务未侵犯知识产权。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6.我单位参与该项目投标，严格遵循公平竞争的原则，不恶意串通，不妨碍其他投标人的竞争行为，不损害采购人或者其他投标人的合法权益。我单位已清楚，如违反上述要求，将作投标无效处理。</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授权代表或法定代表人：（签字）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r>
        <w:br w:type="page"/>
      </w:r>
    </w:p>
    <w:p>
      <w:pPr>
        <w:adjustRightInd w:val="0"/>
        <w:snapToGrid w:val="0"/>
        <w:spacing w:line="360" w:lineRule="auto"/>
        <w:ind w:firstLine="600"/>
        <w:jc w:val="right"/>
      </w:pPr>
    </w:p>
    <w:p>
      <w:pPr>
        <w:pStyle w:val="7"/>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r>
        <w:rPr>
          <w:rFonts w:hint="eastAsia" w:asciiTheme="minorEastAsia" w:hAnsiTheme="minorEastAsia" w:eastAsiaTheme="minorEastAsia"/>
          <w:sz w:val="24"/>
        </w:rPr>
        <w:t>格式2  法定代表人（负责人）证明书及授权委托书</w:t>
      </w:r>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widowControl/>
        <w:jc w:val="left"/>
        <w:rPr>
          <w:b/>
          <w:bCs/>
          <w:sz w:val="28"/>
        </w:rPr>
      </w:pPr>
      <w:r>
        <w:rPr>
          <w:b/>
          <w:bCs/>
          <w:sz w:val="28"/>
        </w:rPr>
        <w:br w:type="page"/>
      </w:r>
    </w:p>
    <w:p>
      <w:pPr>
        <w:ind w:firstLine="2249"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ind w:firstLine="630"/>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5"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5"/>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
      <w:pPr>
        <w:widowControl/>
        <w:jc w:val="left"/>
      </w:pPr>
      <w:r>
        <w:br w:type="page"/>
      </w:r>
    </w:p>
    <w:p>
      <w:pPr>
        <w:tabs>
          <w:tab w:val="left" w:pos="720"/>
        </w:tabs>
        <w:adjustRightInd w:val="0"/>
        <w:snapToGrid w:val="0"/>
        <w:spacing w:line="300" w:lineRule="auto"/>
        <w:rPr>
          <w:b/>
          <w:snapToGrid w:val="0"/>
          <w:kern w:val="0"/>
          <w:sz w:val="28"/>
        </w:rPr>
      </w:pPr>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格式3  投</w:t>
      </w:r>
      <w:r>
        <w:rPr>
          <w:rFonts w:asciiTheme="minorEastAsia" w:hAnsiTheme="minorEastAsia" w:eastAsiaTheme="minorEastAsia"/>
          <w:sz w:val="24"/>
        </w:rPr>
        <w:t xml:space="preserve"> </w:t>
      </w:r>
      <w:r>
        <w:rPr>
          <w:rFonts w:hint="eastAsia" w:asciiTheme="minorEastAsia" w:hAnsiTheme="minorEastAsia" w:eastAsiaTheme="minorEastAsia"/>
          <w:sz w:val="24"/>
        </w:rPr>
        <w:t>标</w:t>
      </w:r>
      <w:r>
        <w:rPr>
          <w:rFonts w:asciiTheme="minorEastAsia" w:hAnsiTheme="minorEastAsia" w:eastAsiaTheme="minorEastAsia"/>
          <w:sz w:val="24"/>
        </w:rPr>
        <w:t xml:space="preserve"> </w:t>
      </w:r>
      <w:r>
        <w:rPr>
          <w:rFonts w:hint="eastAsia" w:asciiTheme="minorEastAsia" w:hAnsiTheme="minorEastAsia" w:eastAsiaTheme="minorEastAsia"/>
          <w:sz w:val="24"/>
        </w:rPr>
        <w:t>函</w:t>
      </w:r>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2．我单位提交的投标文件为：投标书正本一份，副本五份，电子备份光盘（或U盘）一份（内容为投标文件正本盖章扫描件）。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同意中标后向采购代理机构支付招标文件要求数额的中标服务费。</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rPr>
          <w:rFonts w:hint="eastAsia"/>
        </w:rPr>
        <w:t>授权代表： （签字）</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450"/>
        </w:tabs>
        <w:adjustRightInd w:val="0"/>
        <w:spacing w:line="300" w:lineRule="auto"/>
        <w:ind w:hanging="2"/>
        <w:rPr>
          <w:b/>
          <w:snapToGrid w:val="0"/>
          <w:kern w:val="0"/>
          <w:sz w:val="28"/>
        </w:rPr>
      </w:pPr>
      <w:r>
        <w:rPr>
          <w:b/>
          <w:snapToGrid w:val="0"/>
          <w:kern w:val="0"/>
          <w:sz w:val="28"/>
        </w:rPr>
        <w:tab/>
      </w:r>
      <w:r>
        <w:rPr>
          <w:rFonts w:asciiTheme="minorEastAsia" w:hAnsiTheme="minorEastAsia" w:eastAsiaTheme="minorEastAsia"/>
          <w:sz w:val="24"/>
        </w:rPr>
        <w:br w:type="page"/>
      </w:r>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格式4  评分中涉及的承诺及声明函</w:t>
      </w:r>
    </w:p>
    <w:p>
      <w:pPr>
        <w:adjustRightInd w:val="0"/>
        <w:spacing w:line="300" w:lineRule="auto"/>
        <w:ind w:hanging="2"/>
        <w:jc w:val="center"/>
        <w:rPr>
          <w:b/>
          <w:snapToGrid w:val="0"/>
          <w:kern w:val="0"/>
          <w:sz w:val="28"/>
        </w:rPr>
      </w:pPr>
      <w:r>
        <w:rPr>
          <w:rFonts w:hint="eastAsia"/>
          <w:b/>
          <w:snapToGrid w:val="0"/>
          <w:kern w:val="0"/>
          <w:sz w:val="28"/>
        </w:rPr>
        <w:t>诚信承诺函</w:t>
      </w:r>
    </w:p>
    <w:p>
      <w:pPr>
        <w:pStyle w:val="413"/>
        <w:keepNext w:val="0"/>
        <w:adjustRightInd/>
        <w:spacing w:before="0" w:after="0" w:line="240" w:lineRule="auto"/>
        <w:outlineLvl w:val="2"/>
        <w:rPr>
          <w:rFonts w:hAnsi="宋体"/>
          <w:szCs w:val="24"/>
        </w:rPr>
      </w:pPr>
    </w:p>
    <w:p>
      <w:pPr>
        <w:spacing w:line="360" w:lineRule="auto"/>
        <w:rPr>
          <w:rFonts w:cs="Courier New"/>
          <w:snapToGrid w:val="0"/>
          <w:szCs w:val="18"/>
        </w:rPr>
      </w:pPr>
      <w:r>
        <w:rPr>
          <w:rFonts w:hint="eastAsia" w:cs="Courier New"/>
          <w:snapToGrid w:val="0"/>
          <w:szCs w:val="18"/>
        </w:rPr>
        <w:t>深圳市中正招标有限公司：</w:t>
      </w:r>
    </w:p>
    <w:p>
      <w:pPr>
        <w:spacing w:line="360" w:lineRule="auto"/>
        <w:ind w:firstLine="420" w:firstLineChars="200"/>
        <w:rPr>
          <w:rFonts w:cs="Courier New"/>
          <w:snapToGrid w:val="0"/>
          <w:szCs w:val="18"/>
        </w:rPr>
      </w:pPr>
      <w:r>
        <w:rPr>
          <w:rFonts w:hint="eastAsia" w:cs="Courier New"/>
          <w:snapToGrid w:val="0"/>
          <w:szCs w:val="18"/>
        </w:rPr>
        <w:t>我单位承诺，在参与政府采购活动中不存在出现诚信相关问题且在相关主管部门处理措施实施期限内，如若投标文件与事实情况不符，我单位自愿承担“隐瞒真实情况，提供虚假资料”以及其他一切不利的法律后果。</w:t>
      </w:r>
    </w:p>
    <w:p>
      <w:pPr>
        <w:spacing w:line="360" w:lineRule="auto"/>
        <w:ind w:firstLine="420" w:firstLineChars="200"/>
        <w:rPr>
          <w:rFonts w:cs="Courier New"/>
          <w:snapToGrid w:val="0"/>
          <w:szCs w:val="18"/>
        </w:rPr>
      </w:pPr>
      <w:r>
        <w:rPr>
          <w:rFonts w:hint="eastAsia" w:cs="Courier New"/>
          <w:snapToGrid w:val="0"/>
          <w:szCs w:val="18"/>
        </w:rPr>
        <w:t>我单位承诺，在参加政府采购活动中没有出现下列行为之一：</w:t>
      </w:r>
    </w:p>
    <w:p>
      <w:pPr>
        <w:spacing w:line="360" w:lineRule="auto"/>
        <w:ind w:firstLine="420" w:firstLineChars="200"/>
        <w:rPr>
          <w:rFonts w:cs="Courier New"/>
          <w:snapToGrid w:val="0"/>
          <w:szCs w:val="18"/>
        </w:rPr>
      </w:pPr>
      <w:r>
        <w:rPr>
          <w:rFonts w:hint="eastAsia" w:cs="Courier New"/>
          <w:snapToGrid w:val="0"/>
          <w:szCs w:val="18"/>
        </w:rPr>
        <w:t>（一）投标截止后，无正当理由撤销其投标行为，导致项目无法正常开评标的；</w:t>
      </w:r>
    </w:p>
    <w:p>
      <w:pPr>
        <w:spacing w:line="360" w:lineRule="auto"/>
        <w:ind w:firstLine="420" w:firstLineChars="200"/>
        <w:rPr>
          <w:rFonts w:cs="Courier New"/>
          <w:snapToGrid w:val="0"/>
          <w:szCs w:val="18"/>
        </w:rPr>
      </w:pPr>
      <w:r>
        <w:rPr>
          <w:rFonts w:hint="eastAsia" w:cs="Courier New"/>
          <w:snapToGrid w:val="0"/>
          <w:szCs w:val="18"/>
        </w:rPr>
        <w:t>（二）未按《采购条例》规定签订、履行采购合同，严重影响采购人日常工作的；</w:t>
      </w:r>
    </w:p>
    <w:p>
      <w:pPr>
        <w:spacing w:line="360" w:lineRule="auto"/>
        <w:ind w:firstLine="420" w:firstLineChars="200"/>
        <w:rPr>
          <w:rFonts w:cs="Courier New"/>
          <w:snapToGrid w:val="0"/>
          <w:szCs w:val="18"/>
        </w:rPr>
      </w:pPr>
      <w:r>
        <w:rPr>
          <w:rFonts w:hint="eastAsia" w:cs="Courier New"/>
          <w:snapToGrid w:val="0"/>
          <w:szCs w:val="18"/>
        </w:rPr>
        <w:t>（三）在投标文件中未说明且未经采购人同意，将中标项目分包给他人，情节严重的；</w:t>
      </w:r>
    </w:p>
    <w:p>
      <w:pPr>
        <w:spacing w:line="360" w:lineRule="auto"/>
        <w:ind w:firstLine="420" w:firstLineChars="200"/>
        <w:rPr>
          <w:rFonts w:cs="Courier New"/>
          <w:snapToGrid w:val="0"/>
          <w:szCs w:val="18"/>
        </w:rPr>
      </w:pPr>
      <w:r>
        <w:rPr>
          <w:rFonts w:hint="eastAsia" w:cs="Courier New"/>
          <w:snapToGrid w:val="0"/>
          <w:szCs w:val="18"/>
        </w:rPr>
        <w:t>（四）严重违反合同约定，擅自降低货物质量等次和售后服务，货物、工程或者服务存在严重质量问题的；</w:t>
      </w:r>
    </w:p>
    <w:p>
      <w:pPr>
        <w:spacing w:line="360" w:lineRule="auto"/>
        <w:ind w:firstLine="420" w:firstLineChars="200"/>
        <w:rPr>
          <w:rFonts w:cs="Courier New"/>
          <w:snapToGrid w:val="0"/>
          <w:szCs w:val="18"/>
        </w:rPr>
      </w:pPr>
      <w:r>
        <w:rPr>
          <w:rFonts w:hint="eastAsia" w:cs="Courier New"/>
          <w:snapToGrid w:val="0"/>
          <w:szCs w:val="18"/>
        </w:rPr>
        <w:t>（五）严重违反合同约定，未能完成全部货物、服务或工程项目，中途停止配送或者变相增加费用的；</w:t>
      </w:r>
    </w:p>
    <w:p>
      <w:pPr>
        <w:spacing w:line="360" w:lineRule="auto"/>
        <w:ind w:firstLine="420" w:firstLineChars="200"/>
        <w:rPr>
          <w:rFonts w:cs="Courier New"/>
          <w:snapToGrid w:val="0"/>
          <w:szCs w:val="18"/>
        </w:rPr>
      </w:pPr>
      <w:r>
        <w:rPr>
          <w:rFonts w:hint="eastAsia" w:cs="Courier New"/>
          <w:snapToGrid w:val="0"/>
          <w:szCs w:val="18"/>
        </w:rPr>
        <w:t>（六）捏造事实、提供虚假材料进行质疑的；</w:t>
      </w:r>
    </w:p>
    <w:p>
      <w:pPr>
        <w:spacing w:line="360" w:lineRule="auto"/>
        <w:ind w:firstLine="420" w:firstLineChars="200"/>
        <w:rPr>
          <w:rFonts w:cs="Courier New"/>
          <w:snapToGrid w:val="0"/>
          <w:szCs w:val="18"/>
        </w:rPr>
      </w:pPr>
      <w:r>
        <w:rPr>
          <w:rFonts w:hint="eastAsia" w:cs="Courier New"/>
          <w:snapToGrid w:val="0"/>
          <w:szCs w:val="18"/>
        </w:rPr>
        <w:t>（七）假冒他人名义质疑的；</w:t>
      </w:r>
    </w:p>
    <w:p>
      <w:pPr>
        <w:spacing w:line="360" w:lineRule="auto"/>
        <w:ind w:firstLine="420" w:firstLineChars="200"/>
        <w:rPr>
          <w:rFonts w:cs="Courier New"/>
          <w:snapToGrid w:val="0"/>
          <w:szCs w:val="18"/>
        </w:rPr>
      </w:pPr>
      <w:r>
        <w:rPr>
          <w:rFonts w:hint="eastAsia" w:cs="Courier New"/>
          <w:snapToGrid w:val="0"/>
          <w:szCs w:val="18"/>
        </w:rPr>
        <w:t>（八）无正当理由拒不配合进行质疑调查的。</w:t>
      </w:r>
    </w:p>
    <w:p>
      <w:pPr>
        <w:spacing w:line="360" w:lineRule="auto"/>
        <w:ind w:firstLine="420" w:firstLineChars="200"/>
        <w:rPr>
          <w:rFonts w:cs="Courier New"/>
          <w:snapToGrid w:val="0"/>
          <w:szCs w:val="18"/>
        </w:rPr>
      </w:pPr>
      <w:r>
        <w:rPr>
          <w:rFonts w:hint="eastAsia" w:cs="Courier New"/>
          <w:snapToGrid w:val="0"/>
          <w:szCs w:val="18"/>
        </w:rPr>
        <w:t>特此承诺。</w:t>
      </w:r>
    </w:p>
    <w:p>
      <w:pPr>
        <w:spacing w:line="360" w:lineRule="auto"/>
        <w:ind w:firstLine="420" w:firstLineChars="2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授权代表或法定代表人：（签字）</w:t>
      </w: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
    <w:p>
      <w:pPr>
        <w:adjustRightInd w:val="0"/>
        <w:spacing w:line="300" w:lineRule="auto"/>
        <w:ind w:hanging="2"/>
        <w:jc w:val="center"/>
        <w:rPr>
          <w:b/>
          <w:snapToGrid w:val="0"/>
          <w:kern w:val="0"/>
          <w:sz w:val="28"/>
        </w:rPr>
      </w:pPr>
    </w:p>
    <w:p>
      <w:pPr>
        <w:widowControl/>
        <w:jc w:val="left"/>
        <w:rPr>
          <w:b/>
          <w:snapToGrid w:val="0"/>
          <w:kern w:val="0"/>
          <w:sz w:val="28"/>
        </w:rPr>
      </w:pPr>
      <w:r>
        <w:rPr>
          <w:b/>
          <w:snapToGrid w:val="0"/>
          <w:kern w:val="0"/>
          <w:sz w:val="28"/>
        </w:rPr>
        <w:br w:type="page"/>
      </w:r>
    </w:p>
    <w:p>
      <w:pPr>
        <w:adjustRightInd w:val="0"/>
        <w:spacing w:line="300" w:lineRule="auto"/>
        <w:ind w:hanging="2"/>
        <w:jc w:val="center"/>
        <w:rPr>
          <w:b/>
          <w:snapToGrid w:val="0"/>
          <w:kern w:val="0"/>
          <w:sz w:val="28"/>
        </w:rPr>
      </w:pPr>
    </w:p>
    <w:p>
      <w:pPr>
        <w:pStyle w:val="6"/>
        <w:tabs>
          <w:tab w:val="left" w:pos="0"/>
        </w:tabs>
        <w:jc w:val="center"/>
        <w:rPr>
          <w:rFonts w:ascii="宋体" w:hAnsi="宋体" w:eastAsia="宋体"/>
        </w:rPr>
      </w:pPr>
      <w:r>
        <w:rPr>
          <w:rFonts w:hint="eastAsia" w:ascii="宋体" w:hAnsi="宋体" w:eastAsia="宋体"/>
        </w:rPr>
        <w:t>中小企业声明函</w:t>
      </w:r>
    </w:p>
    <w:p>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0" w:firstLineChars="200"/>
        <w:rPr>
          <w:rFonts w:ascii="宋体" w:hAnsi="宋体"/>
          <w:szCs w:val="21"/>
        </w:rPr>
      </w:pPr>
    </w:p>
    <w:p>
      <w:pPr>
        <w:pStyle w:val="6"/>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3"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6"/>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pPr>
        <w:adjustRightInd w:val="0"/>
        <w:snapToGrid w:val="0"/>
        <w:spacing w:line="360" w:lineRule="auto"/>
        <w:ind w:firstLine="600"/>
        <w:jc w:val="right"/>
      </w:pPr>
      <w:r>
        <w:t xml:space="preserve">                                          </w:t>
      </w:r>
      <w:r>
        <w:rPr>
          <w:b/>
          <w:bCs/>
        </w:rPr>
        <w:t xml:space="preserve">  </w:t>
      </w:r>
    </w:p>
    <w:p>
      <w:pPr>
        <w:adjustRightInd w:val="0"/>
        <w:snapToGrid w:val="0"/>
        <w:spacing w:line="360" w:lineRule="auto"/>
        <w:ind w:firstLine="600"/>
        <w:jc w:val="right"/>
      </w:pPr>
    </w:p>
    <w:p>
      <w:pPr>
        <w:widowControl/>
        <w:jc w:val="left"/>
      </w:pPr>
      <w:r>
        <w:br w:type="page"/>
      </w:r>
    </w:p>
    <w:p>
      <w:pPr>
        <w:adjustRightInd w:val="0"/>
        <w:snapToGrid w:val="0"/>
        <w:spacing w:line="360" w:lineRule="auto"/>
        <w:ind w:firstLine="600"/>
        <w:jc w:val="left"/>
      </w:pPr>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56" w:name="_Toc44690706"/>
      <w:bookmarkStart w:id="57" w:name="_Toc44690433"/>
      <w:bookmarkStart w:id="58" w:name="_Toc44691397"/>
      <w:bookmarkStart w:id="59" w:name="_Toc44691165"/>
      <w:r>
        <w:rPr>
          <w:rFonts w:hint="eastAsia" w:asciiTheme="minorEastAsia" w:hAnsiTheme="minorEastAsia" w:eastAsiaTheme="minorEastAsia"/>
          <w:sz w:val="24"/>
        </w:rPr>
        <w:t>格式5  开标一览表</w:t>
      </w:r>
      <w:bookmarkEnd w:id="56"/>
      <w:bookmarkEnd w:id="57"/>
      <w:bookmarkEnd w:id="58"/>
      <w:bookmarkEnd w:id="59"/>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4330"/>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315"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330"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315" w:type="dxa"/>
            <w:tcBorders>
              <w:top w:val="single" w:color="auto" w:sz="4" w:space="0"/>
            </w:tcBorders>
            <w:vAlign w:val="center"/>
          </w:tcPr>
          <w:p>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象山社区医院污水处理站运维服务项目</w:t>
            </w:r>
          </w:p>
        </w:tc>
        <w:tc>
          <w:tcPr>
            <w:tcW w:w="4330" w:type="dxa"/>
            <w:tcBorders>
              <w:top w:val="single" w:color="auto" w:sz="4" w:space="0"/>
            </w:tcBorders>
            <w:vAlign w:val="center"/>
          </w:tcPr>
          <w:p>
            <w:pPr>
              <w:adjustRightInd w:val="0"/>
              <w:snapToGrid w:val="0"/>
              <w:spacing w:line="360" w:lineRule="auto"/>
              <w:rPr>
                <w:snapToGrid w:val="0"/>
                <w:kern w:val="0"/>
                <w:u w:val="single"/>
              </w:rPr>
            </w:pPr>
            <w:r>
              <w:rPr>
                <w:snapToGrid w:val="0"/>
                <w:kern w:val="0"/>
              </w:rPr>
              <w:t>大写：</w:t>
            </w:r>
            <w:r>
              <w:rPr>
                <w:snapToGrid w:val="0"/>
                <w:kern w:val="0"/>
                <w:u w:val="single"/>
              </w:rPr>
              <w:t xml:space="preserve">                   </w:t>
            </w:r>
            <w:r>
              <w:rPr>
                <w:rFonts w:hint="eastAsia"/>
                <w:snapToGrid w:val="0"/>
                <w:kern w:val="0"/>
                <w:u w:val="single"/>
              </w:rPr>
              <w:t xml:space="preserve">           </w:t>
            </w:r>
          </w:p>
          <w:p>
            <w:pPr>
              <w:adjustRightInd w:val="0"/>
              <w:snapToGrid w:val="0"/>
              <w:spacing w:line="360" w:lineRule="auto"/>
              <w:rPr>
                <w:snapToGrid w:val="0"/>
                <w:kern w:val="0"/>
                <w:u w:val="single"/>
              </w:rPr>
            </w:pPr>
            <w:r>
              <w:rPr>
                <w:snapToGrid w:val="0"/>
                <w:kern w:val="0"/>
              </w:rPr>
              <w:t>小写：</w:t>
            </w:r>
            <w:r>
              <w:rPr>
                <w:snapToGrid w:val="0"/>
                <w:kern w:val="0"/>
                <w:u w:val="single"/>
              </w:rPr>
              <w:t xml:space="preserve">                   </w:t>
            </w:r>
            <w:r>
              <w:rPr>
                <w:rFonts w:hint="eastAsia"/>
                <w:snapToGrid w:val="0"/>
                <w:kern w:val="0"/>
                <w:u w:val="single"/>
              </w:rPr>
              <w:t xml:space="preserve">           </w:t>
            </w: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Pr>
        <w:pStyle w:val="28"/>
        <w:adjustRightInd w:val="0"/>
        <w:snapToGrid w:val="0"/>
        <w:spacing w:line="312" w:lineRule="auto"/>
        <w:jc w:val="center"/>
        <w:rPr>
          <w:rFonts w:ascii="Times New Roman" w:hAnsi="Times New Roman"/>
          <w:b/>
          <w:sz w:val="28"/>
        </w:rPr>
      </w:pPr>
    </w:p>
    <w:p/>
    <w:p/>
    <w:p/>
    <w:p/>
    <w:p/>
    <w:p/>
    <w:p/>
    <w:p/>
    <w:p>
      <w:pPr>
        <w:widowControl/>
        <w:jc w:val="left"/>
      </w:pPr>
      <w:r>
        <w:br w:type="page"/>
      </w:r>
    </w:p>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0" w:name="_Toc44691166"/>
      <w:bookmarkStart w:id="61" w:name="_Toc44690434"/>
      <w:bookmarkStart w:id="62" w:name="_Toc44691398"/>
      <w:bookmarkStart w:id="63" w:name="_Toc44690707"/>
      <w:r>
        <w:rPr>
          <w:rFonts w:hint="eastAsia" w:asciiTheme="minorEastAsia" w:hAnsiTheme="minorEastAsia" w:eastAsiaTheme="minorEastAsia"/>
          <w:sz w:val="24"/>
        </w:rPr>
        <w:t>格式6  报价表</w:t>
      </w:r>
      <w:bookmarkEnd w:id="60"/>
      <w:bookmarkEnd w:id="61"/>
      <w:bookmarkEnd w:id="62"/>
      <w:bookmarkEnd w:id="63"/>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57"/>
        <w:gridCol w:w="2231"/>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gridSpan w:val="2"/>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rFonts w:hint="eastAsia"/>
                <w:b/>
                <w:snapToGrid w:val="0"/>
                <w:kern w:val="0"/>
                <w:lang w:val="en-US" w:eastAsia="zh-CN"/>
              </w:rPr>
            </w:pPr>
            <w:r>
              <w:rPr>
                <w:rFonts w:hint="eastAsia"/>
                <w:b/>
                <w:snapToGrid w:val="0"/>
                <w:kern w:val="0"/>
                <w:lang w:val="en-US" w:eastAsia="zh-CN"/>
              </w:rPr>
              <w:t>分项内容合计金额</w:t>
            </w:r>
          </w:p>
          <w:p>
            <w:pPr>
              <w:adjustRightInd w:val="0"/>
              <w:snapToGrid w:val="0"/>
              <w:spacing w:line="300" w:lineRule="auto"/>
              <w:jc w:val="center"/>
              <w:rPr>
                <w:rFonts w:hint="default" w:eastAsia="宋体"/>
                <w:b/>
                <w:snapToGrid w:val="0"/>
                <w:kern w:val="0"/>
                <w:lang w:val="en-US" w:eastAsia="zh-CN"/>
              </w:rPr>
            </w:pPr>
            <w:r>
              <w:rPr>
                <w:b/>
                <w:snapToGrid w:val="0"/>
                <w:kern w:val="0"/>
              </w:rPr>
              <w:t>（单位：</w:t>
            </w:r>
            <w:r>
              <w:rPr>
                <w:rFonts w:hint="eastAsia"/>
                <w:b/>
                <w:snapToGrid w:val="0"/>
                <w:kern w:val="0"/>
              </w:rPr>
              <w:t>人民币</w:t>
            </w:r>
            <w:r>
              <w:rPr>
                <w:b/>
                <w:snapToGrid w:val="0"/>
                <w:kern w:val="0"/>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Merge w:val="restart"/>
            <w:vAlign w:val="center"/>
          </w:tcPr>
          <w:p>
            <w:pPr>
              <w:adjustRightInd w:val="0"/>
              <w:snapToGrid w:val="0"/>
              <w:spacing w:line="300" w:lineRule="auto"/>
              <w:jc w:val="center"/>
              <w:rPr>
                <w:rFonts w:hint="eastAsia" w:ascii="宋体" w:hAnsi="宋体" w:eastAsia="宋体"/>
                <w:snapToGrid w:val="0"/>
                <w:kern w:val="0"/>
                <w:lang w:val="en-US" w:eastAsia="zh-CN"/>
              </w:rPr>
            </w:pPr>
            <w:r>
              <w:rPr>
                <w:rFonts w:hint="eastAsia" w:ascii="宋体" w:hAnsi="宋体"/>
                <w:snapToGrid w:val="0"/>
                <w:kern w:val="0"/>
                <w:lang w:val="en-US" w:eastAsia="zh-CN"/>
              </w:rPr>
              <w:t>1</w:t>
            </w:r>
          </w:p>
        </w:tc>
        <w:tc>
          <w:tcPr>
            <w:tcW w:w="1357" w:type="dxa"/>
            <w:vMerge w:val="restart"/>
            <w:vAlign w:val="center"/>
          </w:tcPr>
          <w:p>
            <w:pPr>
              <w:adjustRightInd w:val="0"/>
              <w:snapToGrid w:val="0"/>
              <w:spacing w:line="300" w:lineRule="auto"/>
              <w:rPr>
                <w:rFonts w:ascii="宋体" w:hAnsi="宋体"/>
                <w:snapToGrid w:val="0"/>
                <w:kern w:val="0"/>
              </w:rPr>
            </w:pPr>
            <w:r>
              <w:rPr>
                <w:rFonts w:hint="eastAsia" w:ascii="宋体" w:hAnsi="宋体"/>
                <w:snapToGrid w:val="0"/>
                <w:kern w:val="0"/>
                <w:lang w:val="en-US" w:eastAsia="zh-CN"/>
              </w:rPr>
              <w:t>运营服务费</w:t>
            </w:r>
          </w:p>
        </w:tc>
        <w:tc>
          <w:tcPr>
            <w:tcW w:w="2231" w:type="dxa"/>
            <w:vAlign w:val="center"/>
          </w:tcPr>
          <w:p>
            <w:pPr>
              <w:adjustRightInd w:val="0"/>
              <w:snapToGrid w:val="0"/>
              <w:spacing w:line="300" w:lineRule="auto"/>
              <w:rPr>
                <w:rFonts w:hint="default" w:ascii="宋体" w:hAnsi="宋体"/>
                <w:snapToGrid w:val="0"/>
                <w:kern w:val="0"/>
                <w:lang w:val="en-US" w:eastAsia="zh-CN"/>
              </w:rPr>
            </w:pPr>
            <w:r>
              <w:rPr>
                <w:rFonts w:hint="eastAsia" w:ascii="宋体" w:hAnsi="宋体"/>
                <w:snapToGrid w:val="0"/>
                <w:kern w:val="0"/>
                <w:lang w:val="en-US" w:eastAsia="zh-CN"/>
              </w:rPr>
              <w:t>1.</w:t>
            </w:r>
          </w:p>
        </w:tc>
        <w:tc>
          <w:tcPr>
            <w:tcW w:w="2664" w:type="dxa"/>
            <w:vAlign w:val="center"/>
          </w:tcPr>
          <w:p>
            <w:pPr>
              <w:adjustRightInd w:val="0"/>
              <w:snapToGrid w:val="0"/>
              <w:spacing w:line="300" w:lineRule="auto"/>
              <w:jc w:val="center"/>
              <w:rPr>
                <w:snapToGrid w:val="0"/>
                <w:kern w:val="0"/>
              </w:rPr>
            </w:pPr>
          </w:p>
        </w:tc>
        <w:tc>
          <w:tcPr>
            <w:tcW w:w="2376" w:type="dxa"/>
            <w:vMerge w:val="restart"/>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hint="default" w:ascii="宋体" w:hAnsi="宋体" w:eastAsia="宋体"/>
                <w:szCs w:val="21"/>
                <w:lang w:val="en-US" w:eastAsia="zh-CN"/>
              </w:rPr>
            </w:pPr>
          </w:p>
        </w:tc>
        <w:tc>
          <w:tcPr>
            <w:tcW w:w="2231" w:type="dxa"/>
            <w:vAlign w:val="center"/>
          </w:tcPr>
          <w:p>
            <w:pPr>
              <w:adjustRightInd w:val="0"/>
              <w:snapToGrid w:val="0"/>
              <w:spacing w:line="300" w:lineRule="auto"/>
              <w:rPr>
                <w:rFonts w:hint="default" w:ascii="宋体" w:hAnsi="宋体" w:eastAsia="宋体"/>
                <w:szCs w:val="21"/>
                <w:lang w:val="en-US" w:eastAsia="zh-CN"/>
              </w:rPr>
            </w:pPr>
            <w:r>
              <w:rPr>
                <w:rFonts w:hint="eastAsia" w:ascii="宋体" w:hAnsi="宋体"/>
                <w:szCs w:val="21"/>
                <w:lang w:val="en-US" w:eastAsia="zh-CN"/>
              </w:rPr>
              <w:t>2.</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hint="default" w:ascii="宋体" w:hAnsi="宋体" w:eastAsia="宋体"/>
                <w:szCs w:val="21"/>
                <w:lang w:val="en-US" w:eastAsia="zh-CN"/>
              </w:rPr>
            </w:pPr>
          </w:p>
        </w:tc>
        <w:tc>
          <w:tcPr>
            <w:tcW w:w="2231" w:type="dxa"/>
            <w:vAlign w:val="center"/>
          </w:tcPr>
          <w:p>
            <w:pPr>
              <w:adjustRightInd w:val="0"/>
              <w:snapToGrid w:val="0"/>
              <w:spacing w:line="300" w:lineRule="auto"/>
              <w:rPr>
                <w:rFonts w:hint="default" w:ascii="宋体" w:hAnsi="宋体"/>
                <w:szCs w:val="21"/>
                <w:lang w:val="en-US" w:eastAsia="zh-CN"/>
              </w:rPr>
            </w:pPr>
            <w:r>
              <w:rPr>
                <w:rFonts w:hint="eastAsia" w:ascii="宋体" w:hAnsi="宋体"/>
                <w:szCs w:val="21"/>
                <w:lang w:val="en-US" w:eastAsia="zh-CN"/>
              </w:rPr>
              <w:t>3.</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hint="default" w:ascii="宋体" w:hAnsi="宋体" w:eastAsia="宋体"/>
                <w:szCs w:val="21"/>
                <w:lang w:val="en-US" w:eastAsia="zh-CN"/>
              </w:rPr>
            </w:pPr>
          </w:p>
        </w:tc>
        <w:tc>
          <w:tcPr>
            <w:tcW w:w="2231" w:type="dxa"/>
            <w:vAlign w:val="center"/>
          </w:tcPr>
          <w:p>
            <w:pPr>
              <w:adjustRightInd w:val="0"/>
              <w:snapToGrid w:val="0"/>
              <w:spacing w:line="300" w:lineRule="auto"/>
              <w:rPr>
                <w:rFonts w:hint="default" w:ascii="宋体" w:hAnsi="宋体"/>
                <w:szCs w:val="21"/>
                <w:lang w:val="en-US" w:eastAsia="zh-CN"/>
              </w:rPr>
            </w:pPr>
            <w:r>
              <w:rPr>
                <w:rFonts w:hint="eastAsia" w:ascii="宋体" w:hAnsi="宋体"/>
                <w:szCs w:val="21"/>
                <w:lang w:val="en-US" w:eastAsia="zh-CN"/>
              </w:rPr>
              <w:t>...</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restart"/>
            <w:vAlign w:val="center"/>
          </w:tcPr>
          <w:p>
            <w:pPr>
              <w:adjustRightInd w:val="0"/>
              <w:snapToGrid w:val="0"/>
              <w:spacing w:line="300" w:lineRule="auto"/>
              <w:jc w:val="center"/>
              <w:rPr>
                <w:rFonts w:hint="eastAsia" w:ascii="宋体" w:hAnsi="宋体" w:eastAsia="宋体"/>
                <w:snapToGrid w:val="0"/>
                <w:kern w:val="0"/>
                <w:lang w:val="en-US" w:eastAsia="zh-CN"/>
              </w:rPr>
            </w:pPr>
            <w:r>
              <w:rPr>
                <w:rFonts w:hint="eastAsia" w:ascii="宋体" w:hAnsi="宋体"/>
                <w:snapToGrid w:val="0"/>
                <w:kern w:val="0"/>
                <w:lang w:val="en-US" w:eastAsia="zh-CN"/>
              </w:rPr>
              <w:t>2</w:t>
            </w:r>
          </w:p>
        </w:tc>
        <w:tc>
          <w:tcPr>
            <w:tcW w:w="1357" w:type="dxa"/>
            <w:vMerge w:val="restart"/>
            <w:vAlign w:val="center"/>
          </w:tcPr>
          <w:p>
            <w:pPr>
              <w:adjustRightInd w:val="0"/>
              <w:snapToGrid w:val="0"/>
              <w:spacing w:line="300" w:lineRule="auto"/>
              <w:rPr>
                <w:rFonts w:ascii="宋体" w:hAnsi="宋体"/>
                <w:szCs w:val="21"/>
                <w:lang w:val="zh-CN"/>
              </w:rPr>
            </w:pPr>
            <w:r>
              <w:rPr>
                <w:rFonts w:hint="eastAsia" w:ascii="宋体" w:hAnsi="宋体"/>
                <w:szCs w:val="21"/>
                <w:lang w:val="en-US" w:eastAsia="zh-CN"/>
              </w:rPr>
              <w:t>新增货物费</w:t>
            </w:r>
          </w:p>
        </w:tc>
        <w:tc>
          <w:tcPr>
            <w:tcW w:w="2231" w:type="dxa"/>
            <w:vAlign w:val="center"/>
          </w:tcPr>
          <w:p>
            <w:pPr>
              <w:adjustRightInd w:val="0"/>
              <w:snapToGrid w:val="0"/>
              <w:spacing w:line="300" w:lineRule="auto"/>
              <w:rPr>
                <w:rFonts w:hint="default" w:ascii="宋体" w:hAnsi="宋体"/>
                <w:szCs w:val="21"/>
                <w:lang w:val="en-US" w:eastAsia="zh-CN"/>
              </w:rPr>
            </w:pPr>
            <w:r>
              <w:rPr>
                <w:rFonts w:hint="eastAsia" w:ascii="宋体" w:hAnsi="宋体"/>
                <w:szCs w:val="21"/>
                <w:lang w:val="en-US" w:eastAsia="zh-CN"/>
              </w:rPr>
              <w:t>1.</w:t>
            </w:r>
          </w:p>
        </w:tc>
        <w:tc>
          <w:tcPr>
            <w:tcW w:w="2664" w:type="dxa"/>
            <w:vAlign w:val="center"/>
          </w:tcPr>
          <w:p>
            <w:pPr>
              <w:adjustRightInd w:val="0"/>
              <w:snapToGrid w:val="0"/>
              <w:spacing w:line="300" w:lineRule="auto"/>
              <w:jc w:val="center"/>
              <w:rPr>
                <w:snapToGrid w:val="0"/>
                <w:kern w:val="0"/>
              </w:rPr>
            </w:pPr>
          </w:p>
        </w:tc>
        <w:tc>
          <w:tcPr>
            <w:tcW w:w="2376" w:type="dxa"/>
            <w:vMerge w:val="restart"/>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ascii="宋体" w:hAnsi="宋体"/>
                <w:szCs w:val="21"/>
                <w:lang w:val="zh-CN"/>
              </w:rPr>
            </w:pPr>
          </w:p>
        </w:tc>
        <w:tc>
          <w:tcPr>
            <w:tcW w:w="2231" w:type="dxa"/>
            <w:vAlign w:val="center"/>
          </w:tcPr>
          <w:p>
            <w:pPr>
              <w:adjustRightInd w:val="0"/>
              <w:snapToGrid w:val="0"/>
              <w:spacing w:line="300" w:lineRule="auto"/>
              <w:rPr>
                <w:rFonts w:hint="default" w:ascii="宋体" w:hAnsi="宋体" w:eastAsia="宋体"/>
                <w:szCs w:val="21"/>
                <w:lang w:val="en-US" w:eastAsia="zh-CN"/>
              </w:rPr>
            </w:pPr>
            <w:r>
              <w:rPr>
                <w:rFonts w:hint="eastAsia" w:ascii="宋体" w:hAnsi="宋体"/>
                <w:szCs w:val="21"/>
                <w:lang w:val="en-US" w:eastAsia="zh-CN"/>
              </w:rPr>
              <w:t>2.</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ascii="宋体" w:hAnsi="宋体"/>
                <w:szCs w:val="21"/>
                <w:lang w:val="zh-CN"/>
              </w:rPr>
            </w:pPr>
          </w:p>
        </w:tc>
        <w:tc>
          <w:tcPr>
            <w:tcW w:w="2231" w:type="dxa"/>
            <w:vAlign w:val="center"/>
          </w:tcPr>
          <w:p>
            <w:pPr>
              <w:adjustRightInd w:val="0"/>
              <w:snapToGrid w:val="0"/>
              <w:spacing w:line="300" w:lineRule="auto"/>
              <w:rPr>
                <w:rFonts w:hint="default" w:ascii="宋体" w:hAnsi="宋体" w:eastAsia="宋体"/>
                <w:szCs w:val="21"/>
                <w:lang w:val="en-US" w:eastAsia="zh-CN"/>
              </w:rPr>
            </w:pPr>
            <w:r>
              <w:rPr>
                <w:rFonts w:hint="eastAsia" w:ascii="宋体" w:hAnsi="宋体"/>
                <w:szCs w:val="21"/>
                <w:lang w:val="en-US" w:eastAsia="zh-CN"/>
              </w:rPr>
              <w:t>3.</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Merge w:val="continue"/>
            <w:vAlign w:val="center"/>
          </w:tcPr>
          <w:p>
            <w:pPr>
              <w:adjustRightInd w:val="0"/>
              <w:snapToGrid w:val="0"/>
              <w:spacing w:line="300" w:lineRule="auto"/>
              <w:jc w:val="center"/>
              <w:rPr>
                <w:rFonts w:ascii="宋体" w:hAnsi="宋体"/>
                <w:snapToGrid w:val="0"/>
                <w:kern w:val="0"/>
              </w:rPr>
            </w:pPr>
          </w:p>
        </w:tc>
        <w:tc>
          <w:tcPr>
            <w:tcW w:w="1357" w:type="dxa"/>
            <w:vMerge w:val="continue"/>
            <w:vAlign w:val="center"/>
          </w:tcPr>
          <w:p>
            <w:pPr>
              <w:adjustRightInd w:val="0"/>
              <w:snapToGrid w:val="0"/>
              <w:spacing w:line="300" w:lineRule="auto"/>
              <w:rPr>
                <w:rFonts w:ascii="宋体" w:hAnsi="宋体"/>
                <w:szCs w:val="21"/>
                <w:lang w:val="zh-CN"/>
              </w:rPr>
            </w:pPr>
          </w:p>
        </w:tc>
        <w:tc>
          <w:tcPr>
            <w:tcW w:w="2231" w:type="dxa"/>
            <w:vAlign w:val="center"/>
          </w:tcPr>
          <w:p>
            <w:pPr>
              <w:adjustRightInd w:val="0"/>
              <w:snapToGrid w:val="0"/>
              <w:spacing w:line="300" w:lineRule="auto"/>
              <w:rPr>
                <w:rFonts w:hint="default" w:ascii="宋体" w:hAnsi="宋体" w:eastAsia="宋体"/>
                <w:szCs w:val="21"/>
                <w:lang w:val="en-US" w:eastAsia="zh-CN"/>
              </w:rPr>
            </w:pPr>
            <w:r>
              <w:rPr>
                <w:rFonts w:hint="eastAsia" w:ascii="宋体" w:hAnsi="宋体"/>
                <w:szCs w:val="21"/>
                <w:lang w:val="en-US" w:eastAsia="zh-CN"/>
              </w:rPr>
              <w:t>...</w:t>
            </w:r>
          </w:p>
        </w:tc>
        <w:tc>
          <w:tcPr>
            <w:tcW w:w="2664" w:type="dxa"/>
            <w:vAlign w:val="center"/>
          </w:tcPr>
          <w:p>
            <w:pPr>
              <w:adjustRightInd w:val="0"/>
              <w:snapToGrid w:val="0"/>
              <w:spacing w:line="300" w:lineRule="auto"/>
              <w:jc w:val="center"/>
              <w:rPr>
                <w:snapToGrid w:val="0"/>
                <w:kern w:val="0"/>
              </w:rPr>
            </w:pPr>
          </w:p>
        </w:tc>
        <w:tc>
          <w:tcPr>
            <w:tcW w:w="2376" w:type="dxa"/>
            <w:vMerge w:val="continue"/>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3"/>
            <w:vAlign w:val="center"/>
          </w:tcPr>
          <w:p>
            <w:pPr>
              <w:adjustRightInd w:val="0"/>
              <w:snapToGrid w:val="0"/>
              <w:spacing w:line="300" w:lineRule="auto"/>
              <w:jc w:val="center"/>
              <w:rPr>
                <w:snapToGrid w:val="0"/>
                <w:kern w:val="0"/>
              </w:rPr>
            </w:pPr>
            <w:r>
              <w:rPr>
                <w:snapToGrid w:val="0"/>
                <w:kern w:val="0"/>
              </w:rPr>
              <w:t>合   计</w:t>
            </w:r>
          </w:p>
        </w:tc>
        <w:tc>
          <w:tcPr>
            <w:tcW w:w="5040" w:type="dxa"/>
            <w:gridSpan w:val="2"/>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keepNext w:val="0"/>
        <w:keepLines w:val="0"/>
        <w:pageBreakBefore w:val="0"/>
        <w:widowControl w:val="0"/>
        <w:kinsoku/>
        <w:wordWrap/>
        <w:overflowPunct/>
        <w:topLinePunct w:val="0"/>
        <w:autoSpaceDE/>
        <w:autoSpaceDN/>
        <w:bidi w:val="0"/>
        <w:snapToGrid/>
        <w:spacing w:line="360" w:lineRule="auto"/>
        <w:textAlignment w:val="auto"/>
        <w:rPr>
          <w:rFonts w:ascii="宋体" w:hAnsi="宋体"/>
          <w:szCs w:val="21"/>
        </w:rPr>
      </w:pPr>
      <w:r>
        <w:rPr>
          <w:rFonts w:hint="eastAsia" w:ascii="宋体" w:hAnsi="宋体"/>
          <w:szCs w:val="21"/>
        </w:rPr>
        <w:t>备注：1、</w:t>
      </w:r>
      <w:r>
        <w:rPr>
          <w:rFonts w:hint="eastAsia" w:ascii="宋体" w:hAnsi="宋体"/>
          <w:bCs/>
          <w:szCs w:val="21"/>
        </w:rPr>
        <w:t>供应商</w:t>
      </w:r>
      <w:r>
        <w:rPr>
          <w:rFonts w:hint="eastAsia" w:ascii="宋体" w:hAnsi="宋体"/>
          <w:bCs/>
          <w:szCs w:val="21"/>
          <w:lang w:val="en-US" w:eastAsia="zh-CN"/>
        </w:rPr>
        <w:t>需</w:t>
      </w:r>
      <w:r>
        <w:rPr>
          <w:rFonts w:hint="eastAsia" w:ascii="宋体" w:hAnsi="宋体"/>
          <w:bCs/>
          <w:szCs w:val="21"/>
        </w:rPr>
        <w:t>根据项目具体情况对各分项内容进行</w:t>
      </w:r>
      <w:r>
        <w:rPr>
          <w:rFonts w:hint="eastAsia" w:ascii="宋体" w:hAnsi="宋体"/>
          <w:bCs/>
          <w:szCs w:val="21"/>
          <w:lang w:val="en-US" w:eastAsia="zh-CN"/>
        </w:rPr>
        <w:t>填写报价</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lang w:eastAsia="zh-CN"/>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Theme="minorEastAsia" w:hAnsiTheme="minorEastAsia" w:eastAsiaTheme="minorEastAsia"/>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eastAsia="宋体"/>
          <w:snapToGrid w:val="0"/>
          <w:kern w:val="0"/>
          <w:szCs w:val="21"/>
          <w:lang w:val="en-US" w:eastAsia="zh-CN"/>
        </w:rPr>
      </w:pPr>
      <w:r>
        <w:rPr>
          <w:rFonts w:hint="eastAsia" w:ascii="宋体" w:hAnsi="宋体"/>
          <w:szCs w:val="21"/>
        </w:rPr>
        <w:t xml:space="preserve">    </w:t>
      </w:r>
      <w:r>
        <w:rPr>
          <w:rFonts w:hint="eastAsia" w:ascii="宋体" w:hAnsi="宋体"/>
          <w:b/>
          <w:bCs/>
          <w:color w:val="FF0000"/>
          <w:szCs w:val="21"/>
        </w:rPr>
        <w:t xml:space="preserve">  </w:t>
      </w:r>
      <w:r>
        <w:rPr>
          <w:rFonts w:hint="eastAsia" w:ascii="宋体" w:hAnsi="宋体"/>
          <w:b/>
          <w:bCs/>
          <w:color w:val="FF0000"/>
          <w:szCs w:val="21"/>
          <w:lang w:val="en-US" w:eastAsia="zh-CN"/>
        </w:rPr>
        <w:t>3、“</w:t>
      </w:r>
      <w:r>
        <w:rPr>
          <w:rFonts w:hint="eastAsia" w:ascii="宋体" w:hAnsi="宋体" w:eastAsia="宋体" w:cs="宋体"/>
          <w:b/>
          <w:bCs/>
          <w:color w:val="FF0000"/>
          <w:szCs w:val="21"/>
          <w:lang w:val="en-US" w:eastAsia="zh-CN"/>
        </w:rPr>
        <w:t>运营服务费</w:t>
      </w:r>
      <w:r>
        <w:rPr>
          <w:rFonts w:hint="eastAsia" w:ascii="宋体" w:hAnsi="宋体"/>
          <w:b/>
          <w:bCs/>
          <w:color w:val="FF0000"/>
          <w:szCs w:val="21"/>
          <w:lang w:val="en-US" w:eastAsia="zh-CN"/>
        </w:rPr>
        <w:t>”分项内容合计</w:t>
      </w:r>
      <w:r>
        <w:rPr>
          <w:rFonts w:hint="eastAsia" w:ascii="宋体" w:hAnsi="宋体" w:cs="宋体"/>
          <w:b/>
          <w:bCs/>
          <w:color w:val="FF0000"/>
          <w:szCs w:val="21"/>
          <w:lang w:val="en-US" w:eastAsia="zh-CN"/>
        </w:rPr>
        <w:t>报价不得超过</w:t>
      </w:r>
      <w:r>
        <w:rPr>
          <w:rFonts w:hint="eastAsia" w:ascii="宋体" w:hAnsi="宋体" w:eastAsia="宋体" w:cs="宋体"/>
          <w:b/>
          <w:bCs/>
          <w:color w:val="FF0000"/>
          <w:szCs w:val="21"/>
          <w:lang w:val="en-US" w:eastAsia="zh-CN"/>
        </w:rPr>
        <w:t>49.608万元</w:t>
      </w:r>
      <w:r>
        <w:rPr>
          <w:rFonts w:hint="eastAsia" w:ascii="宋体" w:hAnsi="宋体" w:cs="宋体"/>
          <w:b/>
          <w:bCs/>
          <w:color w:val="FF0000"/>
          <w:szCs w:val="21"/>
          <w:lang w:val="en-US" w:eastAsia="zh-CN"/>
        </w:rPr>
        <w:t>，“</w:t>
      </w:r>
      <w:r>
        <w:rPr>
          <w:rFonts w:hint="eastAsia" w:ascii="宋体" w:hAnsi="宋体" w:eastAsia="宋体" w:cs="宋体"/>
          <w:b/>
          <w:bCs/>
          <w:color w:val="FF0000"/>
          <w:szCs w:val="21"/>
          <w:lang w:val="en-US" w:eastAsia="zh-CN"/>
        </w:rPr>
        <w:t>新增货物费</w:t>
      </w:r>
      <w:r>
        <w:rPr>
          <w:rFonts w:hint="eastAsia" w:ascii="宋体" w:hAnsi="宋体" w:cs="宋体"/>
          <w:b/>
          <w:bCs/>
          <w:color w:val="FF0000"/>
          <w:szCs w:val="21"/>
          <w:lang w:val="en-US" w:eastAsia="zh-CN"/>
        </w:rPr>
        <w:t>”分项内容合计报价不得超过</w:t>
      </w:r>
      <w:r>
        <w:rPr>
          <w:rFonts w:hint="eastAsia" w:ascii="宋体" w:hAnsi="宋体" w:eastAsia="宋体" w:cs="宋体"/>
          <w:b/>
          <w:bCs/>
          <w:color w:val="FF0000"/>
          <w:szCs w:val="21"/>
          <w:lang w:val="en-US" w:eastAsia="zh-CN"/>
        </w:rPr>
        <w:t>34.344万元</w:t>
      </w:r>
      <w:r>
        <w:rPr>
          <w:rFonts w:hint="eastAsia" w:ascii="宋体" w:hAnsi="宋体" w:cs="宋体"/>
          <w:b/>
          <w:bCs/>
          <w:color w:val="FF0000"/>
          <w:szCs w:val="21"/>
          <w:lang w:val="en-US" w:eastAsia="zh-CN"/>
        </w:rPr>
        <w:t>，否则将导致投标无效。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
      <w:pPr>
        <w:pStyle w:val="28"/>
        <w:adjustRightInd w:val="0"/>
        <w:snapToGrid w:val="0"/>
        <w:spacing w:line="312" w:lineRule="auto"/>
        <w:jc w:val="center"/>
        <w:rPr>
          <w:rFonts w:ascii="Times New Roman" w:hAnsi="Times New Roman"/>
          <w:b/>
          <w:sz w:val="28"/>
        </w:rPr>
      </w:pPr>
    </w:p>
    <w:p/>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4" w:name="_Toc44690708"/>
      <w:bookmarkStart w:id="65" w:name="_Toc44691399"/>
      <w:bookmarkStart w:id="66" w:name="_Toc44690435"/>
      <w:bookmarkStart w:id="67" w:name="_Toc44691167"/>
      <w:r>
        <w:rPr>
          <w:rFonts w:hint="eastAsia" w:asciiTheme="minorEastAsia" w:hAnsiTheme="minorEastAsia" w:eastAsiaTheme="minorEastAsia"/>
          <w:sz w:val="24"/>
        </w:rPr>
        <w:t>格式7  服务方案</w:t>
      </w:r>
      <w:bookmarkEnd w:id="64"/>
      <w:bookmarkEnd w:id="65"/>
      <w:bookmarkEnd w:id="66"/>
      <w:bookmarkEnd w:id="67"/>
    </w:p>
    <w:p>
      <w:pPr>
        <w:pStyle w:val="8"/>
      </w:pPr>
    </w:p>
    <w:p>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pPr>
        <w:spacing w:line="360" w:lineRule="auto"/>
        <w:ind w:firstLine="420" w:firstLineChars="200"/>
        <w:rPr>
          <w:rFonts w:ascii="宋体" w:hAnsi="宋体" w:cs="宋体"/>
          <w:szCs w:val="21"/>
        </w:rPr>
      </w:pPr>
      <w:r>
        <w:rPr>
          <w:rFonts w:hint="eastAsia" w:ascii="宋体" w:hAnsi="宋体"/>
          <w:szCs w:val="21"/>
        </w:rPr>
        <w:t>2、对本项目重难点分析</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突发事件处理（应急措施）</w:t>
      </w:r>
    </w:p>
    <w:p>
      <w:pPr>
        <w:spacing w:line="360" w:lineRule="auto"/>
        <w:ind w:firstLine="420" w:firstLineChars="200"/>
        <w:rPr>
          <w:rFonts w:ascii="宋体" w:hAnsi="宋体" w:cs="宋体"/>
          <w:szCs w:val="21"/>
        </w:rPr>
      </w:pPr>
      <w:r>
        <w:rPr>
          <w:rFonts w:hint="eastAsia" w:ascii="宋体" w:hAnsi="宋体" w:cs="宋体"/>
          <w:szCs w:val="21"/>
        </w:rPr>
        <w:t>4、服务要求偏离表响应程度</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szCs w:val="21"/>
        </w:rPr>
        <w:t>投标人体系认证情况</w:t>
      </w:r>
    </w:p>
    <w:p>
      <w:pPr>
        <w:spacing w:line="360" w:lineRule="auto"/>
        <w:ind w:firstLine="420" w:firstLineChars="200"/>
        <w:rPr>
          <w:rFonts w:hint="eastAsia" w:ascii="宋体" w:hAnsi="宋体"/>
          <w:szCs w:val="21"/>
        </w:rPr>
      </w:pPr>
      <w:r>
        <w:rPr>
          <w:rFonts w:hint="eastAsia" w:ascii="宋体" w:hAnsi="宋体"/>
          <w:szCs w:val="21"/>
        </w:rPr>
        <w:t>6、同类项目业绩情况</w:t>
      </w:r>
    </w:p>
    <w:p>
      <w:pPr>
        <w:spacing w:line="360" w:lineRule="auto"/>
        <w:ind w:left="420"/>
        <w:rPr>
          <w:rFonts w:hint="eastAsia" w:ascii="宋体" w:hAnsi="宋体" w:eastAsia="宋体"/>
          <w:bCs/>
          <w:lang w:val="en-US" w:eastAsia="zh-CN"/>
        </w:rPr>
      </w:pPr>
      <w:r>
        <w:rPr>
          <w:rFonts w:hint="eastAsia" w:ascii="宋体" w:hAnsi="宋体"/>
          <w:bCs/>
          <w:lang w:val="en-US" w:eastAsia="zh-CN"/>
        </w:rPr>
        <w:t>7、服务人员素质</w:t>
      </w:r>
    </w:p>
    <w:p>
      <w:pPr>
        <w:spacing w:line="360" w:lineRule="auto"/>
        <w:ind w:left="420"/>
        <w:rPr>
          <w:rFonts w:hint="eastAsia" w:ascii="宋体" w:hAnsi="宋体" w:eastAsia="宋体"/>
          <w:bCs/>
          <w:lang w:val="en-US" w:eastAsia="zh-CN"/>
        </w:rPr>
      </w:pPr>
      <w:r>
        <w:rPr>
          <w:rFonts w:hint="eastAsia" w:ascii="宋体" w:hAnsi="宋体"/>
          <w:bCs/>
          <w:lang w:val="en-US" w:eastAsia="zh-CN"/>
        </w:rPr>
        <w:t>8、诚信评审</w:t>
      </w:r>
    </w:p>
    <w:p>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tabs>
          <w:tab w:val="left" w:pos="8248"/>
          <w:tab w:val="left" w:pos="9368"/>
        </w:tabs>
        <w:spacing w:line="360" w:lineRule="auto"/>
      </w:pPr>
      <w:r>
        <w:rPr>
          <w:rFonts w:hint="eastAsia"/>
        </w:rPr>
        <w:t>附表：</w:t>
      </w:r>
    </w:p>
    <w:p>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8"/>
        <w:adjustRightInd w:val="0"/>
        <w:snapToGrid w:val="0"/>
        <w:spacing w:line="312" w:lineRule="auto"/>
        <w:jc w:val="center"/>
        <w:rPr>
          <w:rFonts w:ascii="Times New Roman" w:hAnsi="Times New Roman"/>
          <w:b/>
          <w:sz w:val="28"/>
        </w:rPr>
      </w:pPr>
    </w:p>
    <w:p/>
    <w:p/>
    <w:p>
      <w:pPr>
        <w:widowControl/>
        <w:jc w:val="left"/>
      </w:pPr>
      <w:r>
        <w:br w:type="page"/>
      </w:r>
    </w:p>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8</w:t>
      </w:r>
      <w:r>
        <w:rPr>
          <w:rFonts w:asciiTheme="minorEastAsia" w:hAnsiTheme="minorEastAsia" w:eastAsiaTheme="minorEastAsia"/>
          <w:sz w:val="24"/>
        </w:rPr>
        <w:t xml:space="preserve">  </w:t>
      </w:r>
      <w:r>
        <w:rPr>
          <w:rFonts w:hint="eastAsia" w:asciiTheme="minorEastAsia" w:hAnsiTheme="minorEastAsia" w:eastAsiaTheme="minorEastAsia"/>
          <w:sz w:val="24"/>
        </w:rPr>
        <w:t>投标人情况介绍</w:t>
      </w:r>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pStyle w:val="4"/>
        <w:spacing w:before="0"/>
        <w:rPr>
          <w:rFonts w:ascii="宋体" w:hAnsi="宋体"/>
          <w:sz w:val="28"/>
        </w:rPr>
      </w:pPr>
    </w:p>
    <w:p/>
    <w:p/>
    <w:p/>
    <w:p/>
    <w:p/>
    <w:p/>
    <w:p/>
    <w:p/>
    <w:p/>
    <w:p/>
    <w:p/>
    <w:p/>
    <w:p/>
    <w:p/>
    <w:p/>
    <w:p/>
    <w:p/>
    <w:p/>
    <w:p/>
    <w:p/>
    <w:p/>
    <w:p/>
    <w:p/>
    <w:p/>
    <w:p/>
    <w:p/>
    <w:p/>
    <w:p/>
    <w:p/>
    <w:p/>
    <w:p/>
    <w:p>
      <w:pPr>
        <w:widowControl/>
        <w:jc w:val="left"/>
      </w:pPr>
      <w:r>
        <w:br w:type="page"/>
      </w:r>
    </w:p>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8" w:name="_Toc44691400"/>
      <w:bookmarkStart w:id="69" w:name="_Toc44690436"/>
      <w:bookmarkStart w:id="70" w:name="_Toc44690709"/>
      <w:bookmarkStart w:id="71" w:name="_Toc44691168"/>
      <w:r>
        <w:rPr>
          <w:rFonts w:hint="eastAsia" w:asciiTheme="minorEastAsia" w:hAnsiTheme="minorEastAsia" w:eastAsiaTheme="minorEastAsia"/>
          <w:sz w:val="24"/>
        </w:rPr>
        <w:t>格式9  偏离表</w:t>
      </w:r>
      <w:bookmarkEnd w:id="68"/>
      <w:bookmarkEnd w:id="69"/>
      <w:bookmarkEnd w:id="70"/>
      <w:bookmarkEnd w:id="7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7" w:leftChars="1" w:hanging="135"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szCs w:val="21"/>
              </w:rPr>
            </w:pPr>
            <w:r>
              <w:rPr>
                <w:rFonts w:hint="eastAsia" w:ascii="宋体" w:hAnsi="宋体"/>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szCs w:val="21"/>
              </w:rPr>
            </w:pPr>
          </w:p>
        </w:tc>
        <w:tc>
          <w:tcPr>
            <w:tcW w:w="1974" w:type="dxa"/>
            <w:vAlign w:val="center"/>
          </w:tcPr>
          <w:p>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hint="eastAsia" w:ascii="宋体" w:hAnsi="宋体" w:eastAsia="宋体"/>
                <w:szCs w:val="21"/>
                <w:lang w:eastAsia="zh-CN"/>
              </w:rPr>
            </w:pPr>
            <w:r>
              <w:rPr>
                <w:rFonts w:hint="eastAsia" w:ascii="宋体" w:hAnsi="宋体"/>
                <w:b/>
                <w:kern w:val="0"/>
                <w:szCs w:val="21"/>
              </w:rPr>
              <w:t>招标项目需求中</w:t>
            </w:r>
            <w:r>
              <w:rPr>
                <w:rFonts w:hint="eastAsia" w:ascii="宋体" w:hAnsi="宋体" w:cs="Arial"/>
                <w:b/>
                <w:color w:val="FF0000"/>
                <w:lang w:val="en-US" w:eastAsia="zh-CN"/>
              </w:rPr>
              <w:t>带▲号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szCs w:val="21"/>
              </w:rPr>
            </w:pPr>
            <w:r>
              <w:rPr>
                <w:rFonts w:hint="eastAsia" w:ascii="宋体" w:hAnsi="宋体"/>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w:t>
            </w:r>
            <w:r>
              <w:rPr>
                <w:rFonts w:hint="eastAsia" w:ascii="宋体" w:hAnsi="宋体" w:cs="Arial"/>
                <w:b/>
                <w:color w:val="FF0000"/>
                <w:lang w:val="en-US" w:eastAsia="zh-CN"/>
              </w:rPr>
              <w:t>▲</w:t>
            </w:r>
            <w:r>
              <w:rPr>
                <w:rFonts w:hint="eastAsia" w:ascii="宋体" w:hAnsi="宋体"/>
                <w:b/>
                <w:color w:val="FF0000"/>
                <w:szCs w:val="21"/>
              </w:rPr>
              <w:t>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szCs w:val="21"/>
              </w:rPr>
            </w:pPr>
          </w:p>
        </w:tc>
        <w:tc>
          <w:tcPr>
            <w:tcW w:w="1974" w:type="dxa"/>
            <w:vAlign w:val="center"/>
          </w:tcPr>
          <w:p>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87" w:type="dxa"/>
            <w:gridSpan w:val="5"/>
            <w:vAlign w:val="center"/>
          </w:tcPr>
          <w:p>
            <w:pPr>
              <w:ind w:left="136" w:leftChars="65"/>
              <w:jc w:val="center"/>
              <w:rPr>
                <w:rFonts w:hint="eastAsia"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b/>
                <w:color w:val="FF0000"/>
                <w:kern w:val="0"/>
                <w:szCs w:val="21"/>
                <w:lang w:val="en-US" w:eastAsia="zh-CN"/>
              </w:rPr>
              <w:t>和</w:t>
            </w:r>
            <w:r>
              <w:rPr>
                <w:rFonts w:hint="eastAsia" w:ascii="宋体" w:hAnsi="宋体" w:cs="Arial"/>
                <w:b/>
                <w:color w:val="FF0000"/>
                <w:lang w:val="en-US" w:eastAsia="zh-CN"/>
              </w:rPr>
              <w:t>▲</w:t>
            </w:r>
            <w:r>
              <w:rPr>
                <w:rFonts w:hint="eastAsia" w:ascii="宋体" w:hAnsi="宋体" w:cs="Arial"/>
                <w:b/>
                <w:color w:val="FF0000"/>
              </w:rPr>
              <w:t>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hint="eastAsia" w:ascii="宋体" w:hAnsi="宋体"/>
              </w:rPr>
            </w:pPr>
            <w:r>
              <w:rPr>
                <w:rFonts w:hint="eastAsia" w:ascii="宋体" w:hAnsi="宋体"/>
              </w:rPr>
              <w:t>1</w:t>
            </w:r>
          </w:p>
        </w:tc>
        <w:tc>
          <w:tcPr>
            <w:tcW w:w="2010" w:type="dxa"/>
            <w:vAlign w:val="center"/>
          </w:tcPr>
          <w:p>
            <w:pPr>
              <w:rPr>
                <w:rFonts w:hint="eastAsia" w:ascii="宋体" w:hAnsi="宋体"/>
                <w:b/>
                <w:color w:val="FF0000"/>
                <w:szCs w:val="21"/>
              </w:rPr>
            </w:pPr>
            <w:r>
              <w:rPr>
                <w:rFonts w:hint="eastAsia" w:ascii="宋体" w:hAnsi="宋体"/>
                <w:b/>
                <w:color w:val="FF0000"/>
                <w:szCs w:val="21"/>
              </w:rPr>
              <w:t>招标文件第二章《项目需求》中未带★</w:t>
            </w:r>
            <w:r>
              <w:rPr>
                <w:rFonts w:hint="eastAsia" w:ascii="宋体" w:hAnsi="宋体"/>
                <w:b/>
                <w:color w:val="FF0000"/>
                <w:kern w:val="0"/>
                <w:szCs w:val="21"/>
                <w:lang w:val="en-US" w:eastAsia="zh-CN"/>
              </w:rPr>
              <w:t>和</w:t>
            </w:r>
            <w:r>
              <w:rPr>
                <w:rFonts w:hint="eastAsia" w:ascii="宋体" w:hAnsi="宋体" w:cs="Arial"/>
                <w:b/>
                <w:color w:val="FF0000"/>
                <w:lang w:val="en-US" w:eastAsia="zh-CN"/>
              </w:rPr>
              <w:t>▲</w:t>
            </w:r>
            <w:r>
              <w:rPr>
                <w:rFonts w:hint="eastAsia" w:ascii="宋体" w:hAnsi="宋体"/>
                <w:b/>
                <w:color w:val="FF0000"/>
                <w:szCs w:val="21"/>
              </w:rPr>
              <w:t>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hint="eastAsia"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szCs w:val="21"/>
              </w:rPr>
            </w:pPr>
          </w:p>
        </w:tc>
        <w:tc>
          <w:tcPr>
            <w:tcW w:w="1974" w:type="dxa"/>
            <w:vAlign w:val="center"/>
          </w:tcPr>
          <w:p>
            <w:pPr>
              <w:ind w:left="57" w:leftChars="27"/>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wordWrap w:val="0"/>
        <w:adjustRightInd w:val="0"/>
        <w:snapToGrid w:val="0"/>
        <w:spacing w:line="300" w:lineRule="auto"/>
        <w:jc w:val="right"/>
        <w:rPr>
          <w:snapToGrid w:val="0"/>
          <w:kern w:val="0"/>
        </w:rPr>
      </w:pPr>
      <w:r>
        <w:rPr>
          <w:rFonts w:hint="eastAsia"/>
          <w:snapToGrid w:val="0"/>
          <w:kern w:val="0"/>
        </w:rPr>
        <w:t>年    月   日</w:t>
      </w:r>
    </w:p>
    <w:p>
      <w:pPr>
        <w:rPr>
          <w:snapToGrid w:val="0"/>
          <w:kern w:val="0"/>
        </w:rPr>
      </w:pPr>
      <w:r>
        <w:rPr>
          <w:snapToGrid w:val="0"/>
          <w:kern w:val="0"/>
        </w:rPr>
        <w:br w:type="page"/>
      </w:r>
    </w:p>
    <w:p>
      <w:pPr>
        <w:pStyle w:val="2"/>
      </w:pPr>
    </w:p>
    <w:p>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72" w:name="_格式4__"/>
      <w:bookmarkEnd w:id="72"/>
      <w:bookmarkStart w:id="73" w:name="_格式3__"/>
      <w:bookmarkEnd w:id="73"/>
      <w:bookmarkStart w:id="74" w:name="q16"/>
      <w:bookmarkEnd w:id="74"/>
      <w:bookmarkStart w:id="75" w:name="q15"/>
      <w:bookmarkEnd w:id="75"/>
      <w:bookmarkStart w:id="76" w:name="q17"/>
      <w:bookmarkEnd w:id="76"/>
      <w:bookmarkStart w:id="77" w:name="_格式2__投标保证金凭证"/>
      <w:bookmarkEnd w:id="77"/>
      <w:bookmarkStart w:id="78" w:name="_格式5__"/>
      <w:bookmarkEnd w:id="78"/>
      <w:r>
        <w:rPr>
          <w:rFonts w:asciiTheme="minorEastAsia" w:hAnsiTheme="minorEastAsia" w:eastAsiaTheme="minorEastAsia"/>
          <w:sz w:val="24"/>
        </w:rPr>
        <w:tab/>
      </w:r>
      <w:bookmarkStart w:id="79" w:name="_Toc44690437"/>
      <w:bookmarkStart w:id="80" w:name="_Toc44691401"/>
      <w:bookmarkStart w:id="81" w:name="_Toc44690710"/>
      <w:bookmarkStart w:id="82" w:name="_Toc44691169"/>
      <w:r>
        <w:rPr>
          <w:rFonts w:hint="eastAsia" w:asciiTheme="minorEastAsia" w:hAnsiTheme="minorEastAsia" w:eastAsiaTheme="minorEastAsia"/>
          <w:sz w:val="24"/>
        </w:rPr>
        <w:t xml:space="preserve">格式10  </w:t>
      </w:r>
      <w:bookmarkEnd w:id="79"/>
      <w:bookmarkEnd w:id="80"/>
      <w:bookmarkEnd w:id="81"/>
      <w:bookmarkEnd w:id="82"/>
      <w:r>
        <w:rPr>
          <w:rFonts w:hint="eastAsia" w:asciiTheme="minorEastAsia" w:hAnsiTheme="minorEastAsia" w:eastAsiaTheme="minorEastAsia"/>
          <w:sz w:val="24"/>
        </w:rPr>
        <w:t>招标文件要求的其他资料或投标人认为需要补充的资料</w:t>
      </w:r>
    </w:p>
    <w:p>
      <w:pPr>
        <w:spacing w:line="360" w:lineRule="auto"/>
        <w:jc w:val="center"/>
      </w:pPr>
    </w:p>
    <w:p>
      <w:pPr>
        <w:spacing w:line="360" w:lineRule="auto"/>
        <w:ind w:firstLine="420" w:firstLineChars="200"/>
      </w:pPr>
      <w:r>
        <w:rPr>
          <w:szCs w:val="20"/>
        </w:rPr>
        <w:t>投标人</w:t>
      </w:r>
      <w:r>
        <w:rPr>
          <w:rFonts w:hint="eastAsia"/>
          <w:szCs w:val="20"/>
        </w:rPr>
        <w:t>须</w:t>
      </w:r>
      <w:r>
        <w:rPr>
          <w:szCs w:val="20"/>
        </w:rPr>
        <w:t>按要求编制投标文件，提供的内容要详细、真实、可靠。若提供的资料不齐，将导致扣分；若严重缺项、漏项，其投标将被拒绝。</w:t>
      </w:r>
    </w:p>
    <w:p>
      <w:pPr>
        <w:adjustRightInd w:val="0"/>
        <w:snapToGrid w:val="0"/>
        <w:spacing w:line="360" w:lineRule="auto"/>
        <w:ind w:firstLine="420" w:firstLineChars="200"/>
        <w:rPr>
          <w:bCs/>
          <w:snapToGrid w:val="0"/>
          <w:kern w:val="0"/>
        </w:rPr>
      </w:pPr>
    </w:p>
    <w:p>
      <w:pPr>
        <w:adjustRightInd w:val="0"/>
        <w:snapToGrid w:val="0"/>
        <w:spacing w:line="300" w:lineRule="auto"/>
        <w:ind w:firstLine="420" w:firstLineChars="200"/>
        <w:rPr>
          <w:b/>
          <w:snapToGrid w:val="0"/>
          <w:kern w:val="0"/>
          <w:sz w:val="24"/>
        </w:rPr>
      </w:pPr>
      <w:r>
        <w:rPr>
          <w:rFonts w:hint="eastAsia"/>
          <w:bCs/>
          <w:snapToGrid w:val="0"/>
          <w:kern w:val="0"/>
        </w:rPr>
        <w:t>注：如需提供补充资料，本部分资料格式不做统一规定，由投标人自行设计。</w:t>
      </w:r>
    </w:p>
    <w:p>
      <w:pPr>
        <w:pStyle w:val="3"/>
        <w:keepNext w:val="0"/>
        <w:rPr>
          <w:b w:val="0"/>
          <w:snapToGrid w:val="0"/>
          <w:kern w:val="0"/>
          <w:sz w:val="52"/>
          <w:szCs w:val="52"/>
        </w:rPr>
      </w:pPr>
    </w:p>
    <w:p/>
    <w:p/>
    <w:p/>
    <w:p/>
    <w:p/>
    <w:p/>
    <w:p/>
    <w:p/>
    <w:p/>
    <w:p/>
    <w:p/>
    <w:p/>
    <w:p/>
    <w:p/>
    <w:p/>
    <w:p/>
    <w:p/>
    <w:p/>
    <w:p>
      <w:pPr>
        <w:tabs>
          <w:tab w:val="left" w:pos="1875"/>
        </w:tabs>
      </w:pPr>
      <w:r>
        <w:tab/>
      </w: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widowControl/>
        <w:jc w:val="left"/>
      </w:pPr>
      <w:r>
        <w:br w:type="page"/>
      </w:r>
    </w:p>
    <w:p>
      <w:pPr>
        <w:tabs>
          <w:tab w:val="left" w:pos="1875"/>
        </w:tabs>
      </w:pPr>
    </w:p>
    <w:p>
      <w:pPr>
        <w:pStyle w:val="3"/>
      </w:pPr>
      <w:bookmarkStart w:id="83" w:name="_Toc110410382"/>
      <w:r>
        <w:rPr>
          <w:rFonts w:hint="eastAsia"/>
        </w:rPr>
        <w:t>第八章  合同条款</w:t>
      </w:r>
      <w:bookmarkEnd w:id="83"/>
    </w:p>
    <w:p>
      <w:pPr>
        <w:jc w:val="center"/>
        <w:rPr>
          <w:b/>
          <w:szCs w:val="21"/>
        </w:rPr>
      </w:pPr>
    </w:p>
    <w:p>
      <w:pPr>
        <w:adjustRightInd w:val="0"/>
        <w:snapToGrid w:val="0"/>
        <w:spacing w:after="60" w:line="360" w:lineRule="auto"/>
        <w:jc w:val="center"/>
        <w:rPr>
          <w:b/>
          <w:snapToGrid w:val="0"/>
          <w:kern w:val="0"/>
          <w:sz w:val="24"/>
        </w:rPr>
      </w:pPr>
      <w:r>
        <w:rPr>
          <w:rFonts w:hint="eastAsia"/>
          <w:b/>
          <w:snapToGrid w:val="0"/>
          <w:kern w:val="0"/>
          <w:sz w:val="24"/>
        </w:rPr>
        <w:t>（拟签订的合同文本）</w:t>
      </w:r>
    </w:p>
    <w:p>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pPr>
        <w:pStyle w:val="26"/>
        <w:spacing w:line="360" w:lineRule="auto"/>
        <w:ind w:firstLine="482" w:firstLineChars="200"/>
        <w:rPr>
          <w:rFonts w:ascii="Times New Roman" w:hAnsi="Times New Roman"/>
          <w:b/>
          <w:sz w:val="24"/>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pPr>
        <w:adjustRightInd w:val="0"/>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pPr>
        <w:pStyle w:val="26"/>
        <w:snapToGrid w:val="0"/>
        <w:spacing w:line="360" w:lineRule="auto"/>
        <w:ind w:firstLine="422" w:firstLineChars="200"/>
        <w:rPr>
          <w:rFonts w:hAnsi="宋体"/>
          <w:b/>
          <w:szCs w:val="21"/>
        </w:rPr>
      </w:pPr>
      <w:r>
        <w:rPr>
          <w:rFonts w:hint="eastAsia" w:hAnsi="宋体"/>
          <w:b/>
          <w:szCs w:val="21"/>
        </w:rPr>
        <w:t>一、服务内容</w:t>
      </w:r>
    </w:p>
    <w:p>
      <w:pPr>
        <w:spacing w:line="360" w:lineRule="auto"/>
        <w:ind w:firstLine="422" w:firstLineChars="201"/>
        <w:rPr>
          <w:rFonts w:ascii="宋体" w:hAnsi="宋体"/>
          <w:szCs w:val="21"/>
        </w:rPr>
      </w:pPr>
      <w:r>
        <w:rPr>
          <w:rFonts w:hint="eastAsia" w:ascii="宋体" w:hAnsi="宋体"/>
          <w:szCs w:val="21"/>
        </w:rPr>
        <w:t>______________________</w:t>
      </w:r>
    </w:p>
    <w:p>
      <w:pPr>
        <w:pStyle w:val="26"/>
        <w:snapToGrid w:val="0"/>
        <w:spacing w:line="360" w:lineRule="auto"/>
        <w:ind w:firstLine="422" w:firstLineChars="200"/>
        <w:rPr>
          <w:rFonts w:hAnsi="宋体"/>
          <w:b/>
          <w:szCs w:val="21"/>
        </w:rPr>
      </w:pPr>
      <w:r>
        <w:rPr>
          <w:rFonts w:hint="eastAsia" w:hAnsi="宋体"/>
          <w:b/>
          <w:szCs w:val="21"/>
        </w:rPr>
        <w:t>二、合同金额</w:t>
      </w:r>
    </w:p>
    <w:p>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pPr>
        <w:pStyle w:val="26"/>
        <w:snapToGrid w:val="0"/>
        <w:spacing w:line="360" w:lineRule="auto"/>
        <w:ind w:firstLine="422" w:firstLineChars="200"/>
        <w:rPr>
          <w:rFonts w:hAnsi="宋体"/>
          <w:b/>
          <w:szCs w:val="21"/>
        </w:rPr>
      </w:pPr>
      <w:r>
        <w:rPr>
          <w:rFonts w:hint="eastAsia" w:hAnsi="宋体"/>
          <w:b/>
          <w:szCs w:val="21"/>
        </w:rPr>
        <w:t>三、技术资料</w:t>
      </w:r>
    </w:p>
    <w:p>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pPr>
        <w:pStyle w:val="26"/>
        <w:snapToGrid w:val="0"/>
        <w:spacing w:line="360" w:lineRule="auto"/>
        <w:ind w:firstLine="422" w:firstLineChars="200"/>
        <w:rPr>
          <w:rFonts w:hAnsi="宋体"/>
          <w:b/>
          <w:szCs w:val="21"/>
        </w:rPr>
      </w:pPr>
      <w:r>
        <w:rPr>
          <w:rFonts w:hint="eastAsia" w:hAnsi="宋体"/>
          <w:b/>
          <w:szCs w:val="21"/>
        </w:rPr>
        <w:t>四、知识产权</w:t>
      </w:r>
    </w:p>
    <w:p>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pPr>
        <w:pStyle w:val="26"/>
        <w:snapToGrid w:val="0"/>
        <w:spacing w:line="360" w:lineRule="auto"/>
        <w:ind w:firstLine="422" w:firstLineChars="200"/>
        <w:rPr>
          <w:rFonts w:hAnsi="宋体"/>
          <w:b/>
          <w:szCs w:val="21"/>
        </w:rPr>
      </w:pPr>
      <w:r>
        <w:rPr>
          <w:rFonts w:hint="eastAsia" w:hAnsi="宋体"/>
          <w:b/>
          <w:szCs w:val="21"/>
        </w:rPr>
        <w:t>五、履约保证金</w:t>
      </w:r>
    </w:p>
    <w:p>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pPr>
        <w:snapToGrid w:val="0"/>
        <w:spacing w:line="360" w:lineRule="auto"/>
        <w:ind w:firstLine="422" w:firstLineChars="200"/>
        <w:rPr>
          <w:rFonts w:ascii="宋体" w:hAnsi="宋体"/>
          <w:b/>
          <w:szCs w:val="21"/>
        </w:rPr>
      </w:pPr>
      <w:r>
        <w:rPr>
          <w:rFonts w:hint="eastAsia" w:ascii="宋体" w:hAnsi="宋体"/>
          <w:b/>
          <w:szCs w:val="21"/>
        </w:rPr>
        <w:t>九、验收</w:t>
      </w:r>
    </w:p>
    <w:p>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pPr>
        <w:pStyle w:val="26"/>
        <w:snapToGrid w:val="0"/>
        <w:spacing w:line="360" w:lineRule="auto"/>
        <w:ind w:firstLine="422" w:firstLineChars="200"/>
        <w:rPr>
          <w:rFonts w:hAnsi="宋体"/>
          <w:b/>
          <w:szCs w:val="21"/>
        </w:rPr>
      </w:pPr>
      <w:r>
        <w:rPr>
          <w:rFonts w:hint="eastAsia" w:hAnsi="宋体"/>
          <w:b/>
          <w:szCs w:val="21"/>
        </w:rPr>
        <w:t>十、付款方式和税费</w:t>
      </w:r>
    </w:p>
    <w:p>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pPr>
        <w:pStyle w:val="26"/>
        <w:snapToGrid w:val="0"/>
        <w:spacing w:line="360" w:lineRule="auto"/>
        <w:ind w:firstLine="422" w:firstLineChars="200"/>
        <w:rPr>
          <w:rFonts w:hAnsi="宋体"/>
          <w:b/>
          <w:szCs w:val="21"/>
        </w:rPr>
      </w:pPr>
      <w:r>
        <w:rPr>
          <w:rFonts w:hint="eastAsia" w:hAnsi="宋体"/>
          <w:b/>
          <w:szCs w:val="21"/>
        </w:rPr>
        <w:t>十二、违约责任</w:t>
      </w:r>
    </w:p>
    <w:p>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pPr>
        <w:snapToGrid w:val="0"/>
        <w:spacing w:line="360" w:lineRule="auto"/>
        <w:ind w:firstLine="420" w:firstLineChars="200"/>
        <w:rPr>
          <w:rFonts w:ascii="宋体" w:hAnsi="宋体"/>
          <w:szCs w:val="21"/>
        </w:rPr>
      </w:pPr>
      <w:r>
        <w:rPr>
          <w:rFonts w:hint="eastAsia" w:ascii="宋体" w:hAnsi="宋体"/>
          <w:szCs w:val="21"/>
        </w:rPr>
        <w:t>（1）招标文件、答疑及补充通知；</w:t>
      </w:r>
    </w:p>
    <w:p>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pPr>
        <w:pStyle w:val="26"/>
        <w:snapToGrid w:val="0"/>
        <w:spacing w:line="360" w:lineRule="auto"/>
        <w:ind w:firstLine="420" w:firstLineChars="200"/>
        <w:rPr>
          <w:rFonts w:hAnsi="宋体"/>
          <w:szCs w:val="21"/>
        </w:rPr>
      </w:pPr>
      <w:r>
        <w:rPr>
          <w:rFonts w:hint="eastAsia" w:hAnsi="宋体"/>
          <w:szCs w:val="21"/>
        </w:rPr>
        <w:t>附件：</w:t>
      </w:r>
    </w:p>
    <w:p>
      <w:pPr>
        <w:snapToGrid w:val="0"/>
        <w:spacing w:line="360" w:lineRule="auto"/>
        <w:ind w:firstLine="420" w:firstLineChars="200"/>
        <w:rPr>
          <w:rFonts w:ascii="宋体" w:hAnsi="宋体"/>
          <w:szCs w:val="21"/>
        </w:rPr>
      </w:pPr>
      <w:r>
        <w:rPr>
          <w:rFonts w:hint="eastAsia" w:ascii="宋体" w:hAnsi="宋体"/>
          <w:szCs w:val="21"/>
        </w:rPr>
        <w:t>1、《中标通知书》</w:t>
      </w:r>
    </w:p>
    <w:p>
      <w:pPr>
        <w:snapToGrid w:val="0"/>
        <w:spacing w:line="360" w:lineRule="auto"/>
        <w:ind w:firstLine="420" w:firstLineChars="200"/>
        <w:rPr>
          <w:rFonts w:ascii="宋体" w:hAnsi="宋体"/>
          <w:szCs w:val="21"/>
        </w:rPr>
      </w:pPr>
      <w:r>
        <w:rPr>
          <w:rFonts w:hint="eastAsia" w:ascii="宋体" w:hAnsi="宋体"/>
          <w:szCs w:val="21"/>
        </w:rPr>
        <w:t>2、《投标文件》</w:t>
      </w:r>
    </w:p>
    <w:p>
      <w:pPr>
        <w:snapToGrid w:val="0"/>
        <w:spacing w:line="360" w:lineRule="auto"/>
        <w:ind w:firstLine="420" w:firstLineChars="200"/>
        <w:rPr>
          <w:rFonts w:ascii="宋体" w:hAnsi="宋体"/>
          <w:szCs w:val="21"/>
        </w:rPr>
      </w:pPr>
      <w:r>
        <w:rPr>
          <w:rFonts w:hint="eastAsia" w:ascii="宋体" w:hAnsi="宋体"/>
          <w:szCs w:val="21"/>
        </w:rPr>
        <w:t>3、《招标文件》</w:t>
      </w:r>
    </w:p>
    <w:p>
      <w:pPr>
        <w:snapToGrid w:val="0"/>
        <w:spacing w:line="360" w:lineRule="auto"/>
        <w:rPr>
          <w:rFonts w:ascii="宋体" w:hAnsi="宋体"/>
          <w:szCs w:val="21"/>
        </w:rPr>
      </w:pP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pPr>
        <w:jc w:val="center"/>
        <w:rPr>
          <w:b/>
          <w:sz w:val="52"/>
          <w:szCs w:val="52"/>
        </w:rPr>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pStyle w:val="3"/>
      </w:pPr>
      <w:bookmarkStart w:id="84" w:name="_Toc110410383"/>
      <w:bookmarkStart w:id="85" w:name="_Toc73610161"/>
      <w:r>
        <w:rPr>
          <w:rFonts w:hint="eastAsia"/>
        </w:rPr>
        <w:t>第九章  附件</w:t>
      </w:r>
      <w:bookmarkEnd w:id="84"/>
      <w:bookmarkEnd w:id="85"/>
    </w:p>
    <w:p>
      <w:pPr>
        <w:pStyle w:val="5"/>
        <w:spacing w:before="0" w:after="0"/>
      </w:pPr>
      <w:bookmarkStart w:id="86" w:name="_Toc73610162"/>
      <w:bookmarkStart w:id="87" w:name="_Toc110410384"/>
      <w:r>
        <w:rPr>
          <w:rFonts w:hint="eastAsia"/>
        </w:rPr>
        <w:t>一、财政部 工业和信息化部关于印发《政府采购促进中小企业发展管理办法》的通知</w:t>
      </w:r>
      <w:bookmarkEnd w:id="86"/>
      <w:bookmarkEnd w:id="87"/>
    </w:p>
    <w:p>
      <w:pPr>
        <w:pStyle w:val="45"/>
        <w:shd w:val="clear" w:color="auto" w:fill="FFFFFF"/>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财库〔2020〕46号</w:t>
      </w:r>
    </w:p>
    <w:p>
      <w:pPr>
        <w:pStyle w:val="45"/>
        <w:shd w:val="clear" w:color="auto" w:fill="FFFFFF"/>
        <w:spacing w:before="0" w:beforeAutospacing="0" w:after="0" w:afterAutospacing="0" w:line="360" w:lineRule="auto"/>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各中央预算单位办公厅（室），各省、自治区、直辖市、计划单列市财政厅（局）、工业和信息化主管部门，新疆生产建设兵团财政局、工业和信息化主管部门：</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附件：政府采购促进中小企业发展管理办法</w:t>
      </w:r>
    </w:p>
    <w:p>
      <w:pPr>
        <w:pStyle w:val="45"/>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财　　政　　部</w:t>
      </w:r>
    </w:p>
    <w:p>
      <w:pPr>
        <w:pStyle w:val="45"/>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工业和信息化部</w:t>
      </w:r>
    </w:p>
    <w:p>
      <w:pPr>
        <w:pStyle w:val="45"/>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2020年12月18日</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pPr>
        <w:pStyle w:val="45"/>
        <w:shd w:val="clear" w:color="auto" w:fill="FFFFFF"/>
        <w:spacing w:before="0" w:beforeAutospacing="0" w:after="0" w:afterAutospacing="0" w:line="360" w:lineRule="auto"/>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附件</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pPr>
        <w:pStyle w:val="45"/>
        <w:shd w:val="clear" w:color="auto" w:fill="FFFFFF"/>
        <w:spacing w:before="0" w:beforeAutospacing="0" w:after="0" w:afterAutospacing="0" w:line="360" w:lineRule="auto"/>
        <w:jc w:val="center"/>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政府采购促进中小企业发展管理办法</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第一条</w:t>
      </w:r>
      <w:r>
        <w:rPr>
          <w:rFonts w:hint="eastAsia" w:asciiTheme="minorEastAsia" w:hAnsiTheme="minorEastAsia" w:eastAsiaTheme="minorEastAsia"/>
          <w:color w:val="333333"/>
          <w:sz w:val="21"/>
          <w:szCs w:val="21"/>
        </w:rPr>
        <w:t>　为了发挥政府采购的政策功能，促进中小企业健康发展，根据《中华人民共和国政府采购法》、《中华人民共和国中小企业促进法》等有关法律法规，制定本办法。</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第二条</w:t>
      </w:r>
      <w:r>
        <w:rPr>
          <w:rFonts w:hint="eastAsia" w:asciiTheme="minorEastAsia" w:hAnsiTheme="minorEastAsia" w:eastAsiaTheme="minorEastAsia"/>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符合中小企业划分标准的个体工商户，在政府采购活动中视同中小企业。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第三条</w:t>
      </w:r>
      <w:r>
        <w:rPr>
          <w:rFonts w:hint="eastAsia" w:asciiTheme="minorEastAsia" w:hAnsiTheme="minorEastAsia" w:eastAsiaTheme="minorEastAsia"/>
          <w:color w:val="333333"/>
          <w:sz w:val="21"/>
          <w:szCs w:val="21"/>
        </w:rPr>
        <w:t>　采购人在政府采购活动中应当通过加强采购需求管理，落实预留采购份额、价格评审优惠、优先采购等措施，提高中小企业在政府采购中的份额，支持中小企业发展。</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第四条</w:t>
      </w:r>
      <w:r>
        <w:rPr>
          <w:rFonts w:hint="eastAsia" w:asciiTheme="minorEastAsia" w:hAnsiTheme="minorEastAsia" w:eastAsiaTheme="minorEastAsia"/>
          <w:color w:val="333333"/>
          <w:sz w:val="21"/>
          <w:szCs w:val="21"/>
        </w:rPr>
        <w:t>　在政府采购活动中，供应商提供的货物、工程或者服务符合下列情形的，享受本办法规定的中小企业扶持政策：</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（一）在货物采购项目中，货物由中小企业制造，即货物由中小企业生产且使用该中小企业商号或者注册商标；</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（二）在工程采购项目中，工程由中小企业承建，即工程施工单位为中小企业；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（三）在服务采购项目中，服务由中小企业承接，即提供服务的人员为中小企业依照《中华人民共和国劳动合同法》订立劳动合同的从业人员。</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在货物采购项目中，供应商提供的货物既有中小企业制造货物，也有大型企业制造货物的，不享受本办法规定的中小企业扶持政策。</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以联合体形式参加政府采购活动，联合体各方均为中小企业的，联合体视同中小企业。其中，联合体各方均为小微企业的，联合体视同小微企业。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第五条</w:t>
      </w:r>
      <w:r>
        <w:rPr>
          <w:rFonts w:hint="eastAsia" w:asciiTheme="minorEastAsia" w:hAnsiTheme="minorEastAsia" w:eastAsiaTheme="minorEastAsia"/>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第六条</w:t>
      </w:r>
      <w:r>
        <w:rPr>
          <w:rFonts w:hint="eastAsia" w:asciiTheme="minorEastAsia" w:hAnsiTheme="minorEastAsia" w:eastAsiaTheme="minorEastAsia"/>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符合下列情形之一的，可不专门面向中小企业预留采购份额：</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（一）法律法规和国家有关政策明确规定优先或者应当面向事业单位、社会组织等非企业主体采购的；</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（二）因确需使用不可替代的专利、专有技术，基础设施限制，或者提供特定公共服务等原因，只能从中小企业之外的供应商处采购的；</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（三）按照本办法规定预留采购份额无法确保充分供应、充分竞争，或者存在可能影响政府采购目标实现的情形；</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（四）框架协议采购项目；</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（五）省级以上人民政府财政部门规定的其他情形。</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除上述情形外，其他均为适宜由中小企业提供的情形。</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第七条</w:t>
      </w:r>
      <w:r>
        <w:rPr>
          <w:rFonts w:hint="eastAsia" w:asciiTheme="minorEastAsia" w:hAnsiTheme="minorEastAsia" w:eastAsiaTheme="minorEastAsia"/>
          <w:color w:val="333333"/>
          <w:sz w:val="21"/>
          <w:szCs w:val="21"/>
        </w:rPr>
        <w:t>　采购限额标准以上，200万元以下的货物和服务采购项目、400万元以下的工程采购项目，适宜由中小企业提供的，采购人应当专门面向中小企业采购。</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第八条</w:t>
      </w:r>
      <w:r>
        <w:rPr>
          <w:rFonts w:hint="eastAsia" w:asciiTheme="minorEastAsia" w:hAnsiTheme="minorEastAsia" w:eastAsiaTheme="minorEastAsia"/>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（一）将采购项目整体或者设置采购包专门面向中小企业采购；</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（二）要求供应商以联合体形式参加采购活动，且联合体中中小企业承担的部分达到一定比例；</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（三）要求获得采购合同的供应商将采购项目中的一定比例分包给一家或者多家中小企业。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组成联合体或者接受分包合同的中小企业与联合体内其他企业、分包企业之间不得存在直接控股、管理关系。</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第九条</w:t>
      </w:r>
      <w:r>
        <w:rPr>
          <w:rFonts w:hint="eastAsia" w:asciiTheme="minorEastAsia" w:hAnsiTheme="minorEastAsia" w:eastAsiaTheme="minorEastAsia"/>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第十条</w:t>
      </w:r>
      <w:r>
        <w:rPr>
          <w:rFonts w:hint="eastAsia" w:asciiTheme="minorEastAsia" w:hAnsiTheme="minorEastAsia" w:eastAsiaTheme="minorEastAsia"/>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第十一条</w:t>
      </w:r>
      <w:r>
        <w:rPr>
          <w:rFonts w:hint="eastAsia" w:asciiTheme="minorEastAsia" w:hAnsiTheme="minorEastAsia" w:eastAsiaTheme="minorEastAsia"/>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第十二条</w:t>
      </w:r>
      <w:r>
        <w:rPr>
          <w:rFonts w:hint="eastAsia" w:asciiTheme="minorEastAsia" w:hAnsiTheme="minorEastAsia" w:eastAsiaTheme="minorEastAsia"/>
          <w:color w:val="333333"/>
          <w:sz w:val="21"/>
          <w:szCs w:val="21"/>
        </w:rPr>
        <w:t>　采购项目涉及中小企业采购的，采购文件应当明确以下内容：</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（一）预留份额的采购项目或者采购包，明确该项目或相关采购包专门面向中小企业采购，以及相关标的及预算金额；</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（二）要求以联合体形式参加或者合同分包的，明确联合协议或者分包意向协议中中小企业合同金额应当达到的比例，并作为供应商资格条件；</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（三）非预留份额的采购项目或者采购包，明确有关价格扣除比例或者价格分加分比例；</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（四）规定依据本办法规定享受扶持政策获得政府采购合同的，小微企业不得将合同分包给大中型企业，中型企业不得将合同分包给大型企业；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（五）采购人认为具备相关条件的，明确对中小企业在资金支付期限、预付款比例等方面的优惠措施；</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（六）明确采购标的对应的中小企业划分标准所属行业；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（七）法律法规和省级以上人民政府财政部门规定的其他事项。</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第十三条</w:t>
      </w:r>
      <w:r>
        <w:rPr>
          <w:rFonts w:hint="eastAsia" w:asciiTheme="minorEastAsia" w:hAnsiTheme="minorEastAsia" w:eastAsiaTheme="minorEastAsia"/>
          <w:color w:val="333333"/>
          <w:sz w:val="21"/>
          <w:szCs w:val="21"/>
        </w:rPr>
        <w:t>　中标、成交供应商享受本办法规定的中小企业扶持政策的，采购人、采购代理机构应当随中标、成交结果公开中标、成交供应商的《中小企业声明函》。</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适用招标投标法的政府采购工程建设项目，应当在公示中标候选人时公开中标候选人的《中小企业声明函》。</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第十四条</w:t>
      </w:r>
      <w:r>
        <w:rPr>
          <w:rFonts w:hint="eastAsia" w:asciiTheme="minorEastAsia" w:hAnsiTheme="minorEastAsia" w:eastAsiaTheme="minorEastAsia"/>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第十五条</w:t>
      </w:r>
      <w:r>
        <w:rPr>
          <w:rFonts w:hint="eastAsia" w:asciiTheme="minorEastAsia" w:hAnsiTheme="minorEastAsia" w:eastAsiaTheme="minorEastAsia"/>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第十六条</w:t>
      </w:r>
      <w:r>
        <w:rPr>
          <w:rFonts w:hint="eastAsia" w:asciiTheme="minorEastAsia" w:hAnsiTheme="minorEastAsia" w:eastAsiaTheme="minorEastAsia"/>
          <w:color w:val="333333"/>
          <w:sz w:val="21"/>
          <w:szCs w:val="21"/>
        </w:rPr>
        <w:t>　政府采购监督检查、投诉处理及政府采购行政处罚中对中小企业的认定，由货物制造商或者工程、服务供应商注册登记所在地的县级以上人民政府中小企业主管部门负责。</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中小企业主管部门应当在收到财政部门或者有关招标投标行政监督部门关于协助开展中小企业认定函后10个工作日内做出书面答复。</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第十七条</w:t>
      </w:r>
      <w:r>
        <w:rPr>
          <w:rFonts w:hint="eastAsia" w:asciiTheme="minorEastAsia" w:hAnsiTheme="minorEastAsia" w:eastAsiaTheme="minorEastAsia"/>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第十八条</w:t>
      </w:r>
      <w:r>
        <w:rPr>
          <w:rFonts w:hint="eastAsia" w:asciiTheme="minorEastAsia" w:hAnsiTheme="minorEastAsia" w:eastAsiaTheme="minorEastAsia"/>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第十九条</w:t>
      </w:r>
      <w:r>
        <w:rPr>
          <w:rFonts w:hint="eastAsia" w:asciiTheme="minorEastAsia" w:hAnsiTheme="minorEastAsia" w:eastAsiaTheme="minorEastAsia"/>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第二十条</w:t>
      </w:r>
      <w:r>
        <w:rPr>
          <w:rFonts w:hint="eastAsia" w:asciiTheme="minorEastAsia" w:hAnsiTheme="minorEastAsia" w:eastAsiaTheme="minorEastAsia"/>
          <w:color w:val="333333"/>
          <w:sz w:val="21"/>
          <w:szCs w:val="21"/>
        </w:rPr>
        <w:t>　供应商按照本办法规定提供声明函内容不实的，属于提供虚假材料谋取中标、成交，依照《中华人民共和国政府采购法》等国家有关规定追究相应责任。</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第二十一条</w:t>
      </w:r>
      <w:r>
        <w:rPr>
          <w:rFonts w:hint="eastAsia" w:asciiTheme="minorEastAsia" w:hAnsiTheme="minorEastAsia" w:eastAsiaTheme="minorEastAsia"/>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第二十二条</w:t>
      </w:r>
      <w:r>
        <w:rPr>
          <w:rFonts w:hint="eastAsia" w:asciiTheme="minorEastAsia" w:hAnsiTheme="minorEastAsia" w:eastAsiaTheme="minorEastAsia"/>
          <w:color w:val="333333"/>
          <w:sz w:val="21"/>
          <w:szCs w:val="21"/>
        </w:rPr>
        <w:t>　对外援助项目、国家相关资格或者资质管理制度另有规定的项目，不适用本办法。</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第二十三条</w:t>
      </w:r>
      <w:r>
        <w:rPr>
          <w:rFonts w:hint="eastAsia" w:asciiTheme="minorEastAsia" w:hAnsiTheme="minorEastAsia" w:eastAsiaTheme="minorEastAsia"/>
          <w:color w:val="333333"/>
          <w:sz w:val="21"/>
          <w:szCs w:val="21"/>
        </w:rPr>
        <w:t>　关于视同中小企业的其他主体的政府采购扶持政策，由财政部会同有关部门另行规定。</w:t>
      </w:r>
    </w:p>
    <w:p>
      <w:pPr>
        <w:pStyle w:val="45"/>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第二十四条</w:t>
      </w:r>
      <w:r>
        <w:rPr>
          <w:rFonts w:hint="eastAsia" w:asciiTheme="minorEastAsia" w:hAnsiTheme="minorEastAsia" w:eastAsiaTheme="minorEastAsia"/>
          <w:color w:val="333333"/>
          <w:sz w:val="21"/>
          <w:szCs w:val="21"/>
        </w:rPr>
        <w:t>　省级财政部门可以会同中小企业主管部门根据本办法的规定制定具体实施办法。</w:t>
      </w:r>
    </w:p>
    <w:p>
      <w:pPr>
        <w:pStyle w:val="45"/>
        <w:shd w:val="clear" w:color="auto" w:fill="FFFFFF"/>
        <w:spacing w:before="0" w:beforeAutospacing="0" w:after="0" w:afterAutospacing="0" w:line="360" w:lineRule="auto"/>
        <w:ind w:firstLine="480"/>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第二十五条</w:t>
      </w:r>
      <w:r>
        <w:rPr>
          <w:rFonts w:hint="eastAsia" w:asciiTheme="minorEastAsia" w:hAnsiTheme="minorEastAsia" w:eastAsiaTheme="minorEastAsia"/>
          <w:color w:val="333333"/>
          <w:sz w:val="21"/>
          <w:szCs w:val="21"/>
        </w:rPr>
        <w:t>　本办法自2021年1月1日起施行。《财政部 工业和信息化部关于印发〈政府采购促进中小企业发展暂行办法〉的通知》（财库〔2011〕181号）同时废止。</w:t>
      </w:r>
    </w:p>
    <w:p>
      <w:pPr>
        <w:pStyle w:val="45"/>
        <w:shd w:val="clear" w:color="auto" w:fill="FFFFFF"/>
        <w:spacing w:before="0" w:beforeAutospacing="0" w:after="0" w:afterAutospacing="0" w:line="360" w:lineRule="auto"/>
        <w:ind w:firstLine="480"/>
        <w:rPr>
          <w:rFonts w:asciiTheme="minorEastAsia" w:hAnsiTheme="minorEastAsia" w:eastAsiaTheme="minorEastAsia"/>
          <w:color w:val="333333"/>
          <w:sz w:val="21"/>
          <w:szCs w:val="21"/>
        </w:rPr>
      </w:pPr>
    </w:p>
    <w:p>
      <w:pPr>
        <w:spacing w:line="360" w:lineRule="auto"/>
        <w:rPr>
          <w:rFonts w:asciiTheme="minorEastAsia" w:hAnsiTheme="minorEastAsia" w:eastAsiaTheme="minorEastAsia"/>
          <w:szCs w:val="21"/>
        </w:rPr>
      </w:pPr>
    </w:p>
    <w:p>
      <w:pPr>
        <w:pStyle w:val="5"/>
        <w:spacing w:before="0" w:after="0"/>
      </w:pPr>
      <w:bookmarkStart w:id="88" w:name="_Toc110410385"/>
      <w:bookmarkStart w:id="89" w:name="_Toc73610163"/>
      <w:r>
        <w:rPr>
          <w:rFonts w:hint="eastAsia"/>
        </w:rPr>
        <w:t>二、关于印发中小企业划型标准规定的通知</w:t>
      </w:r>
      <w:bookmarkEnd w:id="88"/>
      <w:bookmarkEnd w:id="89"/>
    </w:p>
    <w:p>
      <w:pPr>
        <w:pStyle w:val="45"/>
        <w:shd w:val="clear" w:color="auto" w:fill="FFFFFF"/>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工信部联企业〔2011〕300号</w:t>
      </w:r>
    </w:p>
    <w:p>
      <w:pPr>
        <w:pStyle w:val="45"/>
        <w:shd w:val="clear" w:color="auto" w:fill="FFFFFF"/>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各省、自治区、直辖市人民政府，国务院各部委、各直属机构及有关单位：</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5"/>
        <w:shd w:val="clear" w:color="auto" w:fill="FFFFFF"/>
        <w:spacing w:line="360" w:lineRule="auto"/>
        <w:jc w:val="righ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工业和信息化部　国家统计局</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国家发展和改革委员会　财政部</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二○一一年六月十八日</w:t>
      </w:r>
    </w:p>
    <w:p>
      <w:pPr>
        <w:pStyle w:val="45"/>
        <w:shd w:val="clear" w:color="auto" w:fill="FFFFFF"/>
        <w:spacing w:line="360" w:lineRule="auto"/>
        <w:jc w:val="center"/>
        <w:rPr>
          <w:rFonts w:asciiTheme="minorEastAsia" w:hAnsiTheme="minorEastAsia" w:eastAsiaTheme="minorEastAsia"/>
          <w:color w:val="000000"/>
          <w:sz w:val="21"/>
          <w:szCs w:val="21"/>
        </w:rPr>
      </w:pPr>
      <w:r>
        <w:rPr>
          <w:rStyle w:val="53"/>
          <w:rFonts w:hint="eastAsia" w:asciiTheme="minorEastAsia" w:hAnsiTheme="minorEastAsia" w:eastAsiaTheme="minorEastAsia"/>
          <w:color w:val="000000"/>
          <w:sz w:val="21"/>
          <w:szCs w:val="21"/>
        </w:rPr>
        <w:t>中小企业划型标准规定</w:t>
      </w:r>
    </w:p>
    <w:p>
      <w:pPr>
        <w:pStyle w:val="45"/>
        <w:shd w:val="clear" w:color="auto" w:fill="FFFFFF"/>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一、根据《中华人民共和国中小企业促进法》和《国务院关于进一步促进中小企业发展的若干意见》(国发〔2009〕36号)，制定本规定。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二、中小企业划分为中型、小型、微型三种类型，具体标准根据企业从业人员、营业收入、资产总额等指标，结合行业特点制定。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四、各行业划型标准为：</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五、企业类型的划分以统计部门的统计数据为依据。</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八、本规定由工业和信息化部、国家统计局会同有关部门根据《国民经济行业分类》修订情况和企业发展变化情况适时修订。</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九、本规定由工业和信息化部、国家统计局会同有关部门负责解释。</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十、本规定自发布之日起执行，原国家经贸委、原国家计委、财政部和国家统计局2003年颁布的《中小企业标准暂行规定》同时废止。</w:t>
      </w:r>
    </w:p>
    <w:p>
      <w:pPr>
        <w:pStyle w:val="45"/>
        <w:shd w:val="clear" w:color="auto" w:fill="FFFFFF"/>
        <w:spacing w:line="360" w:lineRule="auto"/>
        <w:rPr>
          <w:rFonts w:asciiTheme="minorEastAsia" w:hAnsiTheme="minorEastAsia" w:eastAsiaTheme="minorEastAsia"/>
          <w:color w:val="000000"/>
          <w:sz w:val="21"/>
          <w:szCs w:val="21"/>
        </w:rPr>
      </w:pPr>
    </w:p>
    <w:p>
      <w:pPr>
        <w:pStyle w:val="5"/>
        <w:spacing w:before="0" w:after="0"/>
      </w:pPr>
      <w:bookmarkStart w:id="90" w:name="_Toc110410386"/>
      <w:bookmarkStart w:id="91" w:name="_Toc73610164"/>
      <w:r>
        <w:rPr>
          <w:rFonts w:hint="eastAsia"/>
        </w:rPr>
        <w:t>三、</w:t>
      </w:r>
      <w:r>
        <w:t>国家统计局关于印发《统计上大中小微型企业划分办法 （2017）》的通知</w:t>
      </w:r>
      <w:bookmarkEnd w:id="90"/>
      <w:bookmarkEnd w:id="91"/>
      <w:r>
        <w:t> </w:t>
      </w:r>
    </w:p>
    <w:p>
      <w:pPr>
        <w:widowControl/>
        <w:shd w:val="clear" w:color="auto" w:fill="FFFFFF"/>
        <w:spacing w:line="360" w:lineRule="auto"/>
        <w:jc w:val="left"/>
        <w:rPr>
          <w:rFonts w:cs="Arial" w:asciiTheme="minorEastAsia" w:hAnsiTheme="minorEastAsia" w:eastAsiaTheme="minorEastAsia"/>
          <w:color w:val="999999"/>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5"/>
        <w:spacing w:before="0" w:after="0"/>
      </w:pPr>
      <w:bookmarkStart w:id="92" w:name="_Toc110410387"/>
      <w:bookmarkStart w:id="93" w:name="_Toc73610165"/>
      <w:r>
        <w:rPr>
          <w:rFonts w:hint="eastAsia"/>
        </w:rPr>
        <w:t>四、</w:t>
      </w:r>
      <w:r>
        <w:t>财政部 民政部 中国残疾人联合会关于促进残疾人就业 政府采购政策的通知</w:t>
      </w:r>
      <w:bookmarkEnd w:id="92"/>
      <w:bookmarkEnd w:id="93"/>
      <w:r>
        <w:t xml:space="preserve"> </w:t>
      </w:r>
    </w:p>
    <w:p>
      <w:pPr>
        <w:pStyle w:val="45"/>
        <w:shd w:val="clear" w:color="auto" w:fill="FFFFFF"/>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pPr>
      <w:r>
        <w:rPr>
          <w:rFonts w:hint="eastAsia" w:cs="宋体" w:asciiTheme="minorEastAsia" w:hAnsiTheme="minorEastAsia" w:eastAsiaTheme="minorEastAsia"/>
          <w:kern w:val="0"/>
          <w:szCs w:val="21"/>
        </w:rPr>
        <w:t>  2017年8月22日</w:t>
      </w:r>
    </w:p>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819"/>
        <w:tab w:val="right" w:pos="9638"/>
      </w:tabs>
      <w:jc w:val="left"/>
    </w:pPr>
    <w:r>
      <w:rPr>
        <w:rFonts w:hint="eastAsia"/>
      </w:rPr>
      <w:t>项目名称：</w:t>
    </w:r>
    <w:r>
      <w:rPr>
        <w:rFonts w:hint="eastAsia" w:asciiTheme="minorEastAsia" w:hAnsiTheme="minorEastAsia" w:eastAsiaTheme="minorEastAsia"/>
        <w:lang w:eastAsia="zh-CN"/>
      </w:rPr>
      <w:t>象山社区医院污水处理站运维服务项目</w:t>
    </w:r>
    <w:r>
      <w:rPr>
        <w:rFonts w:hint="eastAsia" w:asciiTheme="minorEastAsia" w:hAnsiTheme="minorEastAsia" w:eastAsiaTheme="minorEastAsia"/>
      </w:rPr>
      <w:t xml:space="preserve">       </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SZZZ2023-QC0048</w:t>
    </w:r>
    <w:r>
      <w:tab/>
    </w:r>
  </w:p>
  <w:p>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1">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172A27"/>
    <w:rsid w:val="0000134D"/>
    <w:rsid w:val="00001F1C"/>
    <w:rsid w:val="000036D6"/>
    <w:rsid w:val="00003A46"/>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43D2"/>
    <w:rsid w:val="00025058"/>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3D2B"/>
    <w:rsid w:val="000442CB"/>
    <w:rsid w:val="000447F6"/>
    <w:rsid w:val="00045923"/>
    <w:rsid w:val="00045EB5"/>
    <w:rsid w:val="00046595"/>
    <w:rsid w:val="00046998"/>
    <w:rsid w:val="0004741F"/>
    <w:rsid w:val="00047612"/>
    <w:rsid w:val="00047852"/>
    <w:rsid w:val="00050F73"/>
    <w:rsid w:val="00051378"/>
    <w:rsid w:val="0005271F"/>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4787"/>
    <w:rsid w:val="00064A61"/>
    <w:rsid w:val="00064FA4"/>
    <w:rsid w:val="00065240"/>
    <w:rsid w:val="00065967"/>
    <w:rsid w:val="00066813"/>
    <w:rsid w:val="000668F4"/>
    <w:rsid w:val="0006745C"/>
    <w:rsid w:val="00067D3F"/>
    <w:rsid w:val="00067DC4"/>
    <w:rsid w:val="000700C5"/>
    <w:rsid w:val="00070384"/>
    <w:rsid w:val="00071507"/>
    <w:rsid w:val="0007211D"/>
    <w:rsid w:val="00072BD7"/>
    <w:rsid w:val="000730F3"/>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D3F"/>
    <w:rsid w:val="00083E84"/>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0910"/>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6088"/>
    <w:rsid w:val="000D6CFF"/>
    <w:rsid w:val="000D6D74"/>
    <w:rsid w:val="000D6F21"/>
    <w:rsid w:val="000D75EC"/>
    <w:rsid w:val="000D7803"/>
    <w:rsid w:val="000D7D8E"/>
    <w:rsid w:val="000D7DC6"/>
    <w:rsid w:val="000E024C"/>
    <w:rsid w:val="000E18B0"/>
    <w:rsid w:val="000E1BD5"/>
    <w:rsid w:val="000E214A"/>
    <w:rsid w:val="000E21D9"/>
    <w:rsid w:val="000E2823"/>
    <w:rsid w:val="000E2BF0"/>
    <w:rsid w:val="000E3219"/>
    <w:rsid w:val="000E321B"/>
    <w:rsid w:val="000E3D76"/>
    <w:rsid w:val="000E4186"/>
    <w:rsid w:val="000E52FA"/>
    <w:rsid w:val="000E6437"/>
    <w:rsid w:val="000E64F6"/>
    <w:rsid w:val="000E6981"/>
    <w:rsid w:val="000E6C3B"/>
    <w:rsid w:val="000F06E7"/>
    <w:rsid w:val="000F0B03"/>
    <w:rsid w:val="000F0BDA"/>
    <w:rsid w:val="000F0D6F"/>
    <w:rsid w:val="000F150F"/>
    <w:rsid w:val="000F1EDD"/>
    <w:rsid w:val="000F243B"/>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CCC"/>
    <w:rsid w:val="00115E6A"/>
    <w:rsid w:val="0012030F"/>
    <w:rsid w:val="00120AB4"/>
    <w:rsid w:val="00120BE1"/>
    <w:rsid w:val="0012174B"/>
    <w:rsid w:val="00121A55"/>
    <w:rsid w:val="00121B3C"/>
    <w:rsid w:val="00121C20"/>
    <w:rsid w:val="00121DE5"/>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173E"/>
    <w:rsid w:val="00171CA3"/>
    <w:rsid w:val="00171E66"/>
    <w:rsid w:val="001722D8"/>
    <w:rsid w:val="00172A27"/>
    <w:rsid w:val="00172AE3"/>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706"/>
    <w:rsid w:val="0018284B"/>
    <w:rsid w:val="00183836"/>
    <w:rsid w:val="001845E9"/>
    <w:rsid w:val="00184630"/>
    <w:rsid w:val="001846D7"/>
    <w:rsid w:val="00184815"/>
    <w:rsid w:val="001848F5"/>
    <w:rsid w:val="001850A4"/>
    <w:rsid w:val="001864FF"/>
    <w:rsid w:val="001874BC"/>
    <w:rsid w:val="00187B3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C91"/>
    <w:rsid w:val="001B0220"/>
    <w:rsid w:val="001B0850"/>
    <w:rsid w:val="001B1281"/>
    <w:rsid w:val="001B1D39"/>
    <w:rsid w:val="001B2126"/>
    <w:rsid w:val="001B2329"/>
    <w:rsid w:val="001B23F5"/>
    <w:rsid w:val="001B2666"/>
    <w:rsid w:val="001B2909"/>
    <w:rsid w:val="001B2A31"/>
    <w:rsid w:val="001B2D49"/>
    <w:rsid w:val="001B2E91"/>
    <w:rsid w:val="001B5B42"/>
    <w:rsid w:val="001B606A"/>
    <w:rsid w:val="001B6DDB"/>
    <w:rsid w:val="001B7078"/>
    <w:rsid w:val="001B7491"/>
    <w:rsid w:val="001B75CF"/>
    <w:rsid w:val="001B7A8D"/>
    <w:rsid w:val="001B7EBE"/>
    <w:rsid w:val="001C06C0"/>
    <w:rsid w:val="001C0AC9"/>
    <w:rsid w:val="001C10E5"/>
    <w:rsid w:val="001C1A12"/>
    <w:rsid w:val="001C1D46"/>
    <w:rsid w:val="001C1F6C"/>
    <w:rsid w:val="001C21BB"/>
    <w:rsid w:val="001C3000"/>
    <w:rsid w:val="001C30D1"/>
    <w:rsid w:val="001C33D6"/>
    <w:rsid w:val="001C35B7"/>
    <w:rsid w:val="001C36F7"/>
    <w:rsid w:val="001C3AE0"/>
    <w:rsid w:val="001C3BAD"/>
    <w:rsid w:val="001C5F9A"/>
    <w:rsid w:val="001C7E49"/>
    <w:rsid w:val="001D012D"/>
    <w:rsid w:val="001D0702"/>
    <w:rsid w:val="001D0A25"/>
    <w:rsid w:val="001D1078"/>
    <w:rsid w:val="001D1659"/>
    <w:rsid w:val="001D296C"/>
    <w:rsid w:val="001D2F3D"/>
    <w:rsid w:val="001D33C3"/>
    <w:rsid w:val="001D3DED"/>
    <w:rsid w:val="001D3DF8"/>
    <w:rsid w:val="001D3F8A"/>
    <w:rsid w:val="001D4E6F"/>
    <w:rsid w:val="001D5573"/>
    <w:rsid w:val="001D56C8"/>
    <w:rsid w:val="001D5E80"/>
    <w:rsid w:val="001D6356"/>
    <w:rsid w:val="001D6EC3"/>
    <w:rsid w:val="001D710C"/>
    <w:rsid w:val="001E0886"/>
    <w:rsid w:val="001E11B1"/>
    <w:rsid w:val="001E1C18"/>
    <w:rsid w:val="001E208F"/>
    <w:rsid w:val="001E233C"/>
    <w:rsid w:val="001E4950"/>
    <w:rsid w:val="001E5014"/>
    <w:rsid w:val="001E630A"/>
    <w:rsid w:val="001E7838"/>
    <w:rsid w:val="001E7A22"/>
    <w:rsid w:val="001E7D19"/>
    <w:rsid w:val="001F0C50"/>
    <w:rsid w:val="001F0CFA"/>
    <w:rsid w:val="001F0ECC"/>
    <w:rsid w:val="001F1464"/>
    <w:rsid w:val="001F1897"/>
    <w:rsid w:val="001F1905"/>
    <w:rsid w:val="001F1EAE"/>
    <w:rsid w:val="001F1F7F"/>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DBF"/>
    <w:rsid w:val="00223FB6"/>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316C"/>
    <w:rsid w:val="00233EA8"/>
    <w:rsid w:val="00233EE9"/>
    <w:rsid w:val="002344D9"/>
    <w:rsid w:val="00235237"/>
    <w:rsid w:val="002356F7"/>
    <w:rsid w:val="0023573C"/>
    <w:rsid w:val="00235CCD"/>
    <w:rsid w:val="0023602F"/>
    <w:rsid w:val="00236048"/>
    <w:rsid w:val="002362ED"/>
    <w:rsid w:val="00237036"/>
    <w:rsid w:val="002372AC"/>
    <w:rsid w:val="002375DA"/>
    <w:rsid w:val="00237A33"/>
    <w:rsid w:val="00237F7F"/>
    <w:rsid w:val="002402E8"/>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506EE"/>
    <w:rsid w:val="00250E42"/>
    <w:rsid w:val="00250E89"/>
    <w:rsid w:val="0025197E"/>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10D"/>
    <w:rsid w:val="00261B4C"/>
    <w:rsid w:val="00261C50"/>
    <w:rsid w:val="00261C71"/>
    <w:rsid w:val="00261E06"/>
    <w:rsid w:val="0026249A"/>
    <w:rsid w:val="002625B4"/>
    <w:rsid w:val="00263090"/>
    <w:rsid w:val="00263146"/>
    <w:rsid w:val="00264D98"/>
    <w:rsid w:val="00265054"/>
    <w:rsid w:val="0026523F"/>
    <w:rsid w:val="00265EBC"/>
    <w:rsid w:val="0026696D"/>
    <w:rsid w:val="00266BE6"/>
    <w:rsid w:val="00267127"/>
    <w:rsid w:val="00267325"/>
    <w:rsid w:val="002674F1"/>
    <w:rsid w:val="00267935"/>
    <w:rsid w:val="00270B8F"/>
    <w:rsid w:val="00271B39"/>
    <w:rsid w:val="00271C92"/>
    <w:rsid w:val="0027280E"/>
    <w:rsid w:val="0027293A"/>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615B"/>
    <w:rsid w:val="00286DFC"/>
    <w:rsid w:val="00287102"/>
    <w:rsid w:val="00290002"/>
    <w:rsid w:val="0029069C"/>
    <w:rsid w:val="0029244F"/>
    <w:rsid w:val="00293B82"/>
    <w:rsid w:val="00293DA4"/>
    <w:rsid w:val="002965D8"/>
    <w:rsid w:val="0029715E"/>
    <w:rsid w:val="002A00F2"/>
    <w:rsid w:val="002A0381"/>
    <w:rsid w:val="002A0425"/>
    <w:rsid w:val="002A0651"/>
    <w:rsid w:val="002A06BD"/>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527"/>
    <w:rsid w:val="002D0724"/>
    <w:rsid w:val="002D13DF"/>
    <w:rsid w:val="002D3B6B"/>
    <w:rsid w:val="002D41A4"/>
    <w:rsid w:val="002D603D"/>
    <w:rsid w:val="002D62E1"/>
    <w:rsid w:val="002E00AD"/>
    <w:rsid w:val="002E032F"/>
    <w:rsid w:val="002E075F"/>
    <w:rsid w:val="002E08C1"/>
    <w:rsid w:val="002E0B56"/>
    <w:rsid w:val="002E0B5D"/>
    <w:rsid w:val="002E1192"/>
    <w:rsid w:val="002E1650"/>
    <w:rsid w:val="002E1DA6"/>
    <w:rsid w:val="002E1FD4"/>
    <w:rsid w:val="002E2087"/>
    <w:rsid w:val="002E214F"/>
    <w:rsid w:val="002E24BD"/>
    <w:rsid w:val="002E3C98"/>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21EF"/>
    <w:rsid w:val="002F2741"/>
    <w:rsid w:val="002F2B63"/>
    <w:rsid w:val="002F3765"/>
    <w:rsid w:val="002F3F28"/>
    <w:rsid w:val="002F44A0"/>
    <w:rsid w:val="002F471C"/>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3373"/>
    <w:rsid w:val="003242E5"/>
    <w:rsid w:val="00324DD8"/>
    <w:rsid w:val="00324EC6"/>
    <w:rsid w:val="003256E0"/>
    <w:rsid w:val="00325E6C"/>
    <w:rsid w:val="003261AE"/>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70F4"/>
    <w:rsid w:val="003374CB"/>
    <w:rsid w:val="00337D7C"/>
    <w:rsid w:val="00340445"/>
    <w:rsid w:val="00342A4E"/>
    <w:rsid w:val="00342BAE"/>
    <w:rsid w:val="003431F0"/>
    <w:rsid w:val="00343ACE"/>
    <w:rsid w:val="00344388"/>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7017C"/>
    <w:rsid w:val="003703D0"/>
    <w:rsid w:val="003706B3"/>
    <w:rsid w:val="003709F9"/>
    <w:rsid w:val="00372447"/>
    <w:rsid w:val="00372522"/>
    <w:rsid w:val="003728C9"/>
    <w:rsid w:val="00373353"/>
    <w:rsid w:val="00373923"/>
    <w:rsid w:val="003744B5"/>
    <w:rsid w:val="003745F2"/>
    <w:rsid w:val="00374BA5"/>
    <w:rsid w:val="003756AA"/>
    <w:rsid w:val="00376309"/>
    <w:rsid w:val="00376E0D"/>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7884"/>
    <w:rsid w:val="00387F66"/>
    <w:rsid w:val="0039022F"/>
    <w:rsid w:val="0039048F"/>
    <w:rsid w:val="003909DB"/>
    <w:rsid w:val="00391069"/>
    <w:rsid w:val="00391591"/>
    <w:rsid w:val="003919DA"/>
    <w:rsid w:val="00391BFD"/>
    <w:rsid w:val="00392999"/>
    <w:rsid w:val="00392B88"/>
    <w:rsid w:val="00392CF1"/>
    <w:rsid w:val="00393028"/>
    <w:rsid w:val="0039313E"/>
    <w:rsid w:val="003934F9"/>
    <w:rsid w:val="00393AB1"/>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1BBD"/>
    <w:rsid w:val="003B2926"/>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6D0"/>
    <w:rsid w:val="003D27FB"/>
    <w:rsid w:val="003D3FDB"/>
    <w:rsid w:val="003D482D"/>
    <w:rsid w:val="003D53DC"/>
    <w:rsid w:val="003D54FA"/>
    <w:rsid w:val="003D589A"/>
    <w:rsid w:val="003D5A2F"/>
    <w:rsid w:val="003D6826"/>
    <w:rsid w:val="003D6E2F"/>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B04"/>
    <w:rsid w:val="00407BC7"/>
    <w:rsid w:val="004103C4"/>
    <w:rsid w:val="00410BE7"/>
    <w:rsid w:val="00410D26"/>
    <w:rsid w:val="0041105B"/>
    <w:rsid w:val="004110C4"/>
    <w:rsid w:val="004124E8"/>
    <w:rsid w:val="00412773"/>
    <w:rsid w:val="00413625"/>
    <w:rsid w:val="00413998"/>
    <w:rsid w:val="00413BFD"/>
    <w:rsid w:val="00413DFF"/>
    <w:rsid w:val="00414A4F"/>
    <w:rsid w:val="00415756"/>
    <w:rsid w:val="00415B9C"/>
    <w:rsid w:val="004166CA"/>
    <w:rsid w:val="0041688D"/>
    <w:rsid w:val="004168DB"/>
    <w:rsid w:val="00416A9F"/>
    <w:rsid w:val="004170BB"/>
    <w:rsid w:val="00417D63"/>
    <w:rsid w:val="004201B7"/>
    <w:rsid w:val="00421FC0"/>
    <w:rsid w:val="00422A18"/>
    <w:rsid w:val="00422B01"/>
    <w:rsid w:val="00423668"/>
    <w:rsid w:val="00423C36"/>
    <w:rsid w:val="004242E7"/>
    <w:rsid w:val="00424697"/>
    <w:rsid w:val="00424B8A"/>
    <w:rsid w:val="00425A62"/>
    <w:rsid w:val="00425BEB"/>
    <w:rsid w:val="00425DDC"/>
    <w:rsid w:val="00426433"/>
    <w:rsid w:val="00426BE7"/>
    <w:rsid w:val="00427383"/>
    <w:rsid w:val="00427BF1"/>
    <w:rsid w:val="004304D3"/>
    <w:rsid w:val="00430640"/>
    <w:rsid w:val="00430E30"/>
    <w:rsid w:val="00431315"/>
    <w:rsid w:val="00431CAB"/>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365F"/>
    <w:rsid w:val="00474CD6"/>
    <w:rsid w:val="00474D62"/>
    <w:rsid w:val="004751E7"/>
    <w:rsid w:val="0047562B"/>
    <w:rsid w:val="00475D1D"/>
    <w:rsid w:val="00477276"/>
    <w:rsid w:val="004776B9"/>
    <w:rsid w:val="00477C17"/>
    <w:rsid w:val="00480837"/>
    <w:rsid w:val="004813C6"/>
    <w:rsid w:val="00481B7C"/>
    <w:rsid w:val="00482480"/>
    <w:rsid w:val="00482C64"/>
    <w:rsid w:val="00482DF6"/>
    <w:rsid w:val="00485168"/>
    <w:rsid w:val="0048578C"/>
    <w:rsid w:val="00485872"/>
    <w:rsid w:val="00485915"/>
    <w:rsid w:val="00485EA4"/>
    <w:rsid w:val="00486C08"/>
    <w:rsid w:val="0048757E"/>
    <w:rsid w:val="00487C54"/>
    <w:rsid w:val="00487F2E"/>
    <w:rsid w:val="00490561"/>
    <w:rsid w:val="0049059F"/>
    <w:rsid w:val="00490F6B"/>
    <w:rsid w:val="00492CA8"/>
    <w:rsid w:val="004932D3"/>
    <w:rsid w:val="0049351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429"/>
    <w:rsid w:val="004A44FB"/>
    <w:rsid w:val="004A4862"/>
    <w:rsid w:val="004A4E10"/>
    <w:rsid w:val="004A51B0"/>
    <w:rsid w:val="004A5352"/>
    <w:rsid w:val="004A565E"/>
    <w:rsid w:val="004A59A4"/>
    <w:rsid w:val="004A6727"/>
    <w:rsid w:val="004A6981"/>
    <w:rsid w:val="004A6E06"/>
    <w:rsid w:val="004A73C9"/>
    <w:rsid w:val="004A7475"/>
    <w:rsid w:val="004A7F95"/>
    <w:rsid w:val="004B261D"/>
    <w:rsid w:val="004B35DD"/>
    <w:rsid w:val="004B37D0"/>
    <w:rsid w:val="004B4608"/>
    <w:rsid w:val="004B63B7"/>
    <w:rsid w:val="004C1447"/>
    <w:rsid w:val="004C15CD"/>
    <w:rsid w:val="004C166F"/>
    <w:rsid w:val="004C262D"/>
    <w:rsid w:val="004C2758"/>
    <w:rsid w:val="004C3CB6"/>
    <w:rsid w:val="004C4B56"/>
    <w:rsid w:val="004C57D7"/>
    <w:rsid w:val="004C586A"/>
    <w:rsid w:val="004C6802"/>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2F50"/>
    <w:rsid w:val="004E33EB"/>
    <w:rsid w:val="004E345A"/>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FE5"/>
    <w:rsid w:val="00504068"/>
    <w:rsid w:val="00504889"/>
    <w:rsid w:val="00504F17"/>
    <w:rsid w:val="00505297"/>
    <w:rsid w:val="0050563F"/>
    <w:rsid w:val="0050650A"/>
    <w:rsid w:val="00507045"/>
    <w:rsid w:val="00507643"/>
    <w:rsid w:val="00507ABD"/>
    <w:rsid w:val="00507FA4"/>
    <w:rsid w:val="005100BF"/>
    <w:rsid w:val="00510424"/>
    <w:rsid w:val="00510505"/>
    <w:rsid w:val="00510D49"/>
    <w:rsid w:val="0051105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50163"/>
    <w:rsid w:val="00550BD7"/>
    <w:rsid w:val="00550FF4"/>
    <w:rsid w:val="00551A35"/>
    <w:rsid w:val="005520D7"/>
    <w:rsid w:val="005531EF"/>
    <w:rsid w:val="00553C8A"/>
    <w:rsid w:val="00553F48"/>
    <w:rsid w:val="0055408C"/>
    <w:rsid w:val="00555289"/>
    <w:rsid w:val="00557BE8"/>
    <w:rsid w:val="00560452"/>
    <w:rsid w:val="0056097F"/>
    <w:rsid w:val="00560E39"/>
    <w:rsid w:val="00560F12"/>
    <w:rsid w:val="00562076"/>
    <w:rsid w:val="005622D6"/>
    <w:rsid w:val="00562AD4"/>
    <w:rsid w:val="00563583"/>
    <w:rsid w:val="005635DB"/>
    <w:rsid w:val="00563722"/>
    <w:rsid w:val="005644D2"/>
    <w:rsid w:val="00565126"/>
    <w:rsid w:val="0056605B"/>
    <w:rsid w:val="005664D0"/>
    <w:rsid w:val="00566509"/>
    <w:rsid w:val="00566C96"/>
    <w:rsid w:val="0056736F"/>
    <w:rsid w:val="005705DB"/>
    <w:rsid w:val="005709EF"/>
    <w:rsid w:val="0057109F"/>
    <w:rsid w:val="00571971"/>
    <w:rsid w:val="005721D9"/>
    <w:rsid w:val="00572770"/>
    <w:rsid w:val="0057299C"/>
    <w:rsid w:val="00572A16"/>
    <w:rsid w:val="00572D02"/>
    <w:rsid w:val="00572E68"/>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587"/>
    <w:rsid w:val="00581F5A"/>
    <w:rsid w:val="00582B82"/>
    <w:rsid w:val="00582EF6"/>
    <w:rsid w:val="00583464"/>
    <w:rsid w:val="00583A9B"/>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6E78"/>
    <w:rsid w:val="005C7036"/>
    <w:rsid w:val="005C7053"/>
    <w:rsid w:val="005D0181"/>
    <w:rsid w:val="005D1B22"/>
    <w:rsid w:val="005D1F87"/>
    <w:rsid w:val="005D247E"/>
    <w:rsid w:val="005D2797"/>
    <w:rsid w:val="005D2821"/>
    <w:rsid w:val="005D29AB"/>
    <w:rsid w:val="005D2AD9"/>
    <w:rsid w:val="005D487B"/>
    <w:rsid w:val="005D569E"/>
    <w:rsid w:val="005D6A20"/>
    <w:rsid w:val="005D6BC4"/>
    <w:rsid w:val="005D75A8"/>
    <w:rsid w:val="005D7F63"/>
    <w:rsid w:val="005D7FD7"/>
    <w:rsid w:val="005E01D6"/>
    <w:rsid w:val="005E058B"/>
    <w:rsid w:val="005E0D2C"/>
    <w:rsid w:val="005E0FBF"/>
    <w:rsid w:val="005E1A94"/>
    <w:rsid w:val="005E1E5E"/>
    <w:rsid w:val="005E1EC8"/>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DF2"/>
    <w:rsid w:val="005F1192"/>
    <w:rsid w:val="005F1569"/>
    <w:rsid w:val="005F1684"/>
    <w:rsid w:val="005F186F"/>
    <w:rsid w:val="005F2A09"/>
    <w:rsid w:val="005F30AF"/>
    <w:rsid w:val="005F3287"/>
    <w:rsid w:val="005F354D"/>
    <w:rsid w:val="005F36B8"/>
    <w:rsid w:val="005F41E6"/>
    <w:rsid w:val="005F4F63"/>
    <w:rsid w:val="005F50F8"/>
    <w:rsid w:val="005F57CD"/>
    <w:rsid w:val="005F5C60"/>
    <w:rsid w:val="005F65D7"/>
    <w:rsid w:val="005F7277"/>
    <w:rsid w:val="0060015E"/>
    <w:rsid w:val="00600FF2"/>
    <w:rsid w:val="0060107B"/>
    <w:rsid w:val="00601744"/>
    <w:rsid w:val="00601EEB"/>
    <w:rsid w:val="0060324A"/>
    <w:rsid w:val="00603B00"/>
    <w:rsid w:val="00604586"/>
    <w:rsid w:val="00604A3E"/>
    <w:rsid w:val="00604E98"/>
    <w:rsid w:val="006052EB"/>
    <w:rsid w:val="00605593"/>
    <w:rsid w:val="00607D49"/>
    <w:rsid w:val="00607E9C"/>
    <w:rsid w:val="00610586"/>
    <w:rsid w:val="00610A0E"/>
    <w:rsid w:val="00610D9A"/>
    <w:rsid w:val="00611ED2"/>
    <w:rsid w:val="0061253F"/>
    <w:rsid w:val="00613239"/>
    <w:rsid w:val="006133AF"/>
    <w:rsid w:val="00614D9F"/>
    <w:rsid w:val="00615CF7"/>
    <w:rsid w:val="0061600A"/>
    <w:rsid w:val="00616417"/>
    <w:rsid w:val="0061657A"/>
    <w:rsid w:val="00616CA8"/>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FF5"/>
    <w:rsid w:val="00647366"/>
    <w:rsid w:val="00647CD3"/>
    <w:rsid w:val="0065022E"/>
    <w:rsid w:val="00650398"/>
    <w:rsid w:val="0065047A"/>
    <w:rsid w:val="006510E7"/>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5F0"/>
    <w:rsid w:val="00672A00"/>
    <w:rsid w:val="00672A27"/>
    <w:rsid w:val="00674135"/>
    <w:rsid w:val="00674DCE"/>
    <w:rsid w:val="00675104"/>
    <w:rsid w:val="00675A8E"/>
    <w:rsid w:val="00675D1F"/>
    <w:rsid w:val="00675F27"/>
    <w:rsid w:val="00676955"/>
    <w:rsid w:val="00676D3E"/>
    <w:rsid w:val="00677048"/>
    <w:rsid w:val="0068046C"/>
    <w:rsid w:val="006812C0"/>
    <w:rsid w:val="00681732"/>
    <w:rsid w:val="00681B7E"/>
    <w:rsid w:val="006828B7"/>
    <w:rsid w:val="00683085"/>
    <w:rsid w:val="0068311C"/>
    <w:rsid w:val="0068387C"/>
    <w:rsid w:val="00683942"/>
    <w:rsid w:val="00683ACE"/>
    <w:rsid w:val="00683E1A"/>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4848"/>
    <w:rsid w:val="0069522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E18"/>
    <w:rsid w:val="006B30BA"/>
    <w:rsid w:val="006B38D4"/>
    <w:rsid w:val="006B3D4C"/>
    <w:rsid w:val="006B445B"/>
    <w:rsid w:val="006B541F"/>
    <w:rsid w:val="006B5DC9"/>
    <w:rsid w:val="006B65F2"/>
    <w:rsid w:val="006B66F8"/>
    <w:rsid w:val="006B6C8C"/>
    <w:rsid w:val="006B6CDF"/>
    <w:rsid w:val="006B7604"/>
    <w:rsid w:val="006B77FE"/>
    <w:rsid w:val="006B7A32"/>
    <w:rsid w:val="006C0088"/>
    <w:rsid w:val="006C0CC8"/>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E7"/>
    <w:rsid w:val="006D2762"/>
    <w:rsid w:val="006D2A1D"/>
    <w:rsid w:val="006D32D2"/>
    <w:rsid w:val="006D41C9"/>
    <w:rsid w:val="006D48F6"/>
    <w:rsid w:val="006D5920"/>
    <w:rsid w:val="006D59CA"/>
    <w:rsid w:val="006D6A01"/>
    <w:rsid w:val="006D7DAF"/>
    <w:rsid w:val="006E0126"/>
    <w:rsid w:val="006E0848"/>
    <w:rsid w:val="006E0FCC"/>
    <w:rsid w:val="006E1450"/>
    <w:rsid w:val="006E28B4"/>
    <w:rsid w:val="006E42A9"/>
    <w:rsid w:val="006E4C76"/>
    <w:rsid w:val="006E556E"/>
    <w:rsid w:val="006E5C0D"/>
    <w:rsid w:val="006E67A9"/>
    <w:rsid w:val="006E6FF8"/>
    <w:rsid w:val="006E7584"/>
    <w:rsid w:val="006F0B48"/>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B50"/>
    <w:rsid w:val="00704CBD"/>
    <w:rsid w:val="0070597A"/>
    <w:rsid w:val="007059E9"/>
    <w:rsid w:val="00705DC2"/>
    <w:rsid w:val="0070655B"/>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30F1"/>
    <w:rsid w:val="00733153"/>
    <w:rsid w:val="00733B22"/>
    <w:rsid w:val="00734D7F"/>
    <w:rsid w:val="00734F3D"/>
    <w:rsid w:val="007356DE"/>
    <w:rsid w:val="00735C72"/>
    <w:rsid w:val="007362C7"/>
    <w:rsid w:val="007367CA"/>
    <w:rsid w:val="00736C6D"/>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45ED"/>
    <w:rsid w:val="00765002"/>
    <w:rsid w:val="007675F7"/>
    <w:rsid w:val="0077091F"/>
    <w:rsid w:val="00771266"/>
    <w:rsid w:val="00771B21"/>
    <w:rsid w:val="00772036"/>
    <w:rsid w:val="0077203D"/>
    <w:rsid w:val="00772114"/>
    <w:rsid w:val="00772150"/>
    <w:rsid w:val="007721E3"/>
    <w:rsid w:val="00772B31"/>
    <w:rsid w:val="00773B71"/>
    <w:rsid w:val="00774BE0"/>
    <w:rsid w:val="00775496"/>
    <w:rsid w:val="00775850"/>
    <w:rsid w:val="00775910"/>
    <w:rsid w:val="00776534"/>
    <w:rsid w:val="007768AE"/>
    <w:rsid w:val="00776F7B"/>
    <w:rsid w:val="00777322"/>
    <w:rsid w:val="00777C1D"/>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29D3"/>
    <w:rsid w:val="00792DF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D57"/>
    <w:rsid w:val="007D1D33"/>
    <w:rsid w:val="007D2640"/>
    <w:rsid w:val="007D2656"/>
    <w:rsid w:val="007D27C9"/>
    <w:rsid w:val="007D2D2D"/>
    <w:rsid w:val="007D2FDA"/>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E47"/>
    <w:rsid w:val="00801AB1"/>
    <w:rsid w:val="00802383"/>
    <w:rsid w:val="00802C82"/>
    <w:rsid w:val="008033B8"/>
    <w:rsid w:val="008033C1"/>
    <w:rsid w:val="00803689"/>
    <w:rsid w:val="00803D71"/>
    <w:rsid w:val="00803DDC"/>
    <w:rsid w:val="00803EBA"/>
    <w:rsid w:val="0080498C"/>
    <w:rsid w:val="008049DB"/>
    <w:rsid w:val="0080557B"/>
    <w:rsid w:val="00805B7B"/>
    <w:rsid w:val="00805D34"/>
    <w:rsid w:val="00806393"/>
    <w:rsid w:val="00806FF0"/>
    <w:rsid w:val="00810A80"/>
    <w:rsid w:val="00811009"/>
    <w:rsid w:val="00811082"/>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530D"/>
    <w:rsid w:val="00825530"/>
    <w:rsid w:val="00827280"/>
    <w:rsid w:val="008275A6"/>
    <w:rsid w:val="00827773"/>
    <w:rsid w:val="00827B06"/>
    <w:rsid w:val="00827E2A"/>
    <w:rsid w:val="00830148"/>
    <w:rsid w:val="00830AF2"/>
    <w:rsid w:val="00830BFC"/>
    <w:rsid w:val="00830D20"/>
    <w:rsid w:val="00830EAB"/>
    <w:rsid w:val="008310D2"/>
    <w:rsid w:val="00831F24"/>
    <w:rsid w:val="00832458"/>
    <w:rsid w:val="00832601"/>
    <w:rsid w:val="00832DD9"/>
    <w:rsid w:val="00833045"/>
    <w:rsid w:val="0083478D"/>
    <w:rsid w:val="0083687A"/>
    <w:rsid w:val="008368D4"/>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618"/>
    <w:rsid w:val="008566CA"/>
    <w:rsid w:val="0085682D"/>
    <w:rsid w:val="008568C5"/>
    <w:rsid w:val="00856B2E"/>
    <w:rsid w:val="008576E8"/>
    <w:rsid w:val="008610C6"/>
    <w:rsid w:val="00861804"/>
    <w:rsid w:val="00862584"/>
    <w:rsid w:val="00862D18"/>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6E6"/>
    <w:rsid w:val="00891B0F"/>
    <w:rsid w:val="00892147"/>
    <w:rsid w:val="0089263D"/>
    <w:rsid w:val="008926B9"/>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D61"/>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DA0"/>
    <w:rsid w:val="008B6E0E"/>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D0D6B"/>
    <w:rsid w:val="008D0E73"/>
    <w:rsid w:val="008D14B9"/>
    <w:rsid w:val="008D1648"/>
    <w:rsid w:val="008D16DD"/>
    <w:rsid w:val="008D2745"/>
    <w:rsid w:val="008D2A84"/>
    <w:rsid w:val="008D4D1D"/>
    <w:rsid w:val="008D50BF"/>
    <w:rsid w:val="008D5D67"/>
    <w:rsid w:val="008D5F2F"/>
    <w:rsid w:val="008D6448"/>
    <w:rsid w:val="008D66D8"/>
    <w:rsid w:val="008D682A"/>
    <w:rsid w:val="008D751E"/>
    <w:rsid w:val="008D7E7E"/>
    <w:rsid w:val="008E02A6"/>
    <w:rsid w:val="008E02FA"/>
    <w:rsid w:val="008E1751"/>
    <w:rsid w:val="008E1922"/>
    <w:rsid w:val="008E1CD3"/>
    <w:rsid w:val="008E1F25"/>
    <w:rsid w:val="008E27CB"/>
    <w:rsid w:val="008E2AE3"/>
    <w:rsid w:val="008E449D"/>
    <w:rsid w:val="008E5072"/>
    <w:rsid w:val="008E57B4"/>
    <w:rsid w:val="008E58A8"/>
    <w:rsid w:val="008E6374"/>
    <w:rsid w:val="008E6791"/>
    <w:rsid w:val="008E72A7"/>
    <w:rsid w:val="008E7C43"/>
    <w:rsid w:val="008F0232"/>
    <w:rsid w:val="008F04AE"/>
    <w:rsid w:val="008F0682"/>
    <w:rsid w:val="008F06E3"/>
    <w:rsid w:val="008F23FE"/>
    <w:rsid w:val="008F279E"/>
    <w:rsid w:val="008F2C96"/>
    <w:rsid w:val="008F3767"/>
    <w:rsid w:val="008F3AB4"/>
    <w:rsid w:val="008F432B"/>
    <w:rsid w:val="008F43F9"/>
    <w:rsid w:val="008F4452"/>
    <w:rsid w:val="008F4F69"/>
    <w:rsid w:val="008F4FFD"/>
    <w:rsid w:val="008F53DF"/>
    <w:rsid w:val="008F54DD"/>
    <w:rsid w:val="008F6E39"/>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B44"/>
    <w:rsid w:val="00931225"/>
    <w:rsid w:val="0093126B"/>
    <w:rsid w:val="0093128F"/>
    <w:rsid w:val="00931D72"/>
    <w:rsid w:val="00932288"/>
    <w:rsid w:val="00932774"/>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7290"/>
    <w:rsid w:val="009872EB"/>
    <w:rsid w:val="009876EE"/>
    <w:rsid w:val="00987AA2"/>
    <w:rsid w:val="00987B8C"/>
    <w:rsid w:val="00987CEE"/>
    <w:rsid w:val="009905DE"/>
    <w:rsid w:val="00990C19"/>
    <w:rsid w:val="00990EB2"/>
    <w:rsid w:val="00991D80"/>
    <w:rsid w:val="00991EA5"/>
    <w:rsid w:val="009920AC"/>
    <w:rsid w:val="00992863"/>
    <w:rsid w:val="00992AD4"/>
    <w:rsid w:val="00992B33"/>
    <w:rsid w:val="00992B8E"/>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C0631"/>
    <w:rsid w:val="009C0C86"/>
    <w:rsid w:val="009C1008"/>
    <w:rsid w:val="009C1809"/>
    <w:rsid w:val="009C1AFF"/>
    <w:rsid w:val="009C218C"/>
    <w:rsid w:val="009C21E3"/>
    <w:rsid w:val="009C222F"/>
    <w:rsid w:val="009C25F1"/>
    <w:rsid w:val="009C2C60"/>
    <w:rsid w:val="009C372E"/>
    <w:rsid w:val="009C3B12"/>
    <w:rsid w:val="009C3DBD"/>
    <w:rsid w:val="009C3EC8"/>
    <w:rsid w:val="009C4186"/>
    <w:rsid w:val="009C47F5"/>
    <w:rsid w:val="009C4C4F"/>
    <w:rsid w:val="009C59C1"/>
    <w:rsid w:val="009C5AD0"/>
    <w:rsid w:val="009C6134"/>
    <w:rsid w:val="009C69CD"/>
    <w:rsid w:val="009C6D2B"/>
    <w:rsid w:val="009C7301"/>
    <w:rsid w:val="009C788F"/>
    <w:rsid w:val="009C79AB"/>
    <w:rsid w:val="009C7ACB"/>
    <w:rsid w:val="009C7EF2"/>
    <w:rsid w:val="009D135A"/>
    <w:rsid w:val="009D1A50"/>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E04"/>
    <w:rsid w:val="009E1FF9"/>
    <w:rsid w:val="009E31F4"/>
    <w:rsid w:val="009E4179"/>
    <w:rsid w:val="009E4242"/>
    <w:rsid w:val="009E4732"/>
    <w:rsid w:val="009E57E8"/>
    <w:rsid w:val="009E59F4"/>
    <w:rsid w:val="009E5D79"/>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A00170"/>
    <w:rsid w:val="00A00BB2"/>
    <w:rsid w:val="00A013B0"/>
    <w:rsid w:val="00A01E51"/>
    <w:rsid w:val="00A04285"/>
    <w:rsid w:val="00A04494"/>
    <w:rsid w:val="00A04767"/>
    <w:rsid w:val="00A0546E"/>
    <w:rsid w:val="00A0551C"/>
    <w:rsid w:val="00A05BB8"/>
    <w:rsid w:val="00A06295"/>
    <w:rsid w:val="00A06427"/>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F8C"/>
    <w:rsid w:val="00A22977"/>
    <w:rsid w:val="00A23A82"/>
    <w:rsid w:val="00A23B89"/>
    <w:rsid w:val="00A241F9"/>
    <w:rsid w:val="00A24437"/>
    <w:rsid w:val="00A252B6"/>
    <w:rsid w:val="00A2544C"/>
    <w:rsid w:val="00A25FFF"/>
    <w:rsid w:val="00A2607B"/>
    <w:rsid w:val="00A26CCB"/>
    <w:rsid w:val="00A27980"/>
    <w:rsid w:val="00A27A38"/>
    <w:rsid w:val="00A27B3B"/>
    <w:rsid w:val="00A27C3C"/>
    <w:rsid w:val="00A27D03"/>
    <w:rsid w:val="00A27DB4"/>
    <w:rsid w:val="00A30E89"/>
    <w:rsid w:val="00A314A0"/>
    <w:rsid w:val="00A31598"/>
    <w:rsid w:val="00A31ADE"/>
    <w:rsid w:val="00A31C7D"/>
    <w:rsid w:val="00A320DB"/>
    <w:rsid w:val="00A3249C"/>
    <w:rsid w:val="00A32A75"/>
    <w:rsid w:val="00A33C93"/>
    <w:rsid w:val="00A3410E"/>
    <w:rsid w:val="00A35ACD"/>
    <w:rsid w:val="00A35AFF"/>
    <w:rsid w:val="00A36A84"/>
    <w:rsid w:val="00A370B4"/>
    <w:rsid w:val="00A37836"/>
    <w:rsid w:val="00A40288"/>
    <w:rsid w:val="00A406E6"/>
    <w:rsid w:val="00A409A3"/>
    <w:rsid w:val="00A41771"/>
    <w:rsid w:val="00A41B17"/>
    <w:rsid w:val="00A421B2"/>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340"/>
    <w:rsid w:val="00A57A69"/>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EF5"/>
    <w:rsid w:val="00A704EA"/>
    <w:rsid w:val="00A7234D"/>
    <w:rsid w:val="00A72E28"/>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DDC"/>
    <w:rsid w:val="00A83F37"/>
    <w:rsid w:val="00A84018"/>
    <w:rsid w:val="00A8418F"/>
    <w:rsid w:val="00A842A3"/>
    <w:rsid w:val="00A84B94"/>
    <w:rsid w:val="00A84BED"/>
    <w:rsid w:val="00A8536F"/>
    <w:rsid w:val="00A857C4"/>
    <w:rsid w:val="00A85AF6"/>
    <w:rsid w:val="00A85CD9"/>
    <w:rsid w:val="00A85E27"/>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DFD"/>
    <w:rsid w:val="00A95EE0"/>
    <w:rsid w:val="00A96EF6"/>
    <w:rsid w:val="00AA0925"/>
    <w:rsid w:val="00AA096E"/>
    <w:rsid w:val="00AA1293"/>
    <w:rsid w:val="00AA14C3"/>
    <w:rsid w:val="00AA188D"/>
    <w:rsid w:val="00AA3EDF"/>
    <w:rsid w:val="00AA411A"/>
    <w:rsid w:val="00AA4220"/>
    <w:rsid w:val="00AA4239"/>
    <w:rsid w:val="00AA4D46"/>
    <w:rsid w:val="00AA54AE"/>
    <w:rsid w:val="00AA5F04"/>
    <w:rsid w:val="00AA6816"/>
    <w:rsid w:val="00AA69E5"/>
    <w:rsid w:val="00AA6D4E"/>
    <w:rsid w:val="00AA73D0"/>
    <w:rsid w:val="00AA75CE"/>
    <w:rsid w:val="00AB023A"/>
    <w:rsid w:val="00AB0C43"/>
    <w:rsid w:val="00AB1082"/>
    <w:rsid w:val="00AB1098"/>
    <w:rsid w:val="00AB1102"/>
    <w:rsid w:val="00AB173C"/>
    <w:rsid w:val="00AB1B38"/>
    <w:rsid w:val="00AB217D"/>
    <w:rsid w:val="00AB2581"/>
    <w:rsid w:val="00AB2643"/>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A94"/>
    <w:rsid w:val="00AC322C"/>
    <w:rsid w:val="00AC33E2"/>
    <w:rsid w:val="00AC3674"/>
    <w:rsid w:val="00AC3F97"/>
    <w:rsid w:val="00AC4466"/>
    <w:rsid w:val="00AC4A20"/>
    <w:rsid w:val="00AC4FEA"/>
    <w:rsid w:val="00AC5213"/>
    <w:rsid w:val="00AC53F3"/>
    <w:rsid w:val="00AC584E"/>
    <w:rsid w:val="00AC5B6E"/>
    <w:rsid w:val="00AC5E1A"/>
    <w:rsid w:val="00AC7B80"/>
    <w:rsid w:val="00AC7D80"/>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CD"/>
    <w:rsid w:val="00AE43F4"/>
    <w:rsid w:val="00AE5099"/>
    <w:rsid w:val="00AE50D3"/>
    <w:rsid w:val="00AE606A"/>
    <w:rsid w:val="00AF013B"/>
    <w:rsid w:val="00AF0A66"/>
    <w:rsid w:val="00AF0CF8"/>
    <w:rsid w:val="00AF1658"/>
    <w:rsid w:val="00AF262C"/>
    <w:rsid w:val="00AF2A5A"/>
    <w:rsid w:val="00AF415A"/>
    <w:rsid w:val="00AF44F2"/>
    <w:rsid w:val="00AF4950"/>
    <w:rsid w:val="00AF53AB"/>
    <w:rsid w:val="00AF53BA"/>
    <w:rsid w:val="00AF64D9"/>
    <w:rsid w:val="00AF69B4"/>
    <w:rsid w:val="00AF717B"/>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2F04"/>
    <w:rsid w:val="00B13082"/>
    <w:rsid w:val="00B134E7"/>
    <w:rsid w:val="00B13A79"/>
    <w:rsid w:val="00B14075"/>
    <w:rsid w:val="00B14FC0"/>
    <w:rsid w:val="00B159F7"/>
    <w:rsid w:val="00B16524"/>
    <w:rsid w:val="00B165E7"/>
    <w:rsid w:val="00B16E86"/>
    <w:rsid w:val="00B170A8"/>
    <w:rsid w:val="00B20364"/>
    <w:rsid w:val="00B20E6F"/>
    <w:rsid w:val="00B211F2"/>
    <w:rsid w:val="00B2130C"/>
    <w:rsid w:val="00B215D0"/>
    <w:rsid w:val="00B21EDE"/>
    <w:rsid w:val="00B2244B"/>
    <w:rsid w:val="00B226A9"/>
    <w:rsid w:val="00B2300D"/>
    <w:rsid w:val="00B230F6"/>
    <w:rsid w:val="00B23139"/>
    <w:rsid w:val="00B232D6"/>
    <w:rsid w:val="00B23539"/>
    <w:rsid w:val="00B23551"/>
    <w:rsid w:val="00B24DC8"/>
    <w:rsid w:val="00B25335"/>
    <w:rsid w:val="00B25CBD"/>
    <w:rsid w:val="00B26391"/>
    <w:rsid w:val="00B26A06"/>
    <w:rsid w:val="00B27AD5"/>
    <w:rsid w:val="00B27F3D"/>
    <w:rsid w:val="00B30B04"/>
    <w:rsid w:val="00B30E74"/>
    <w:rsid w:val="00B3108F"/>
    <w:rsid w:val="00B3114E"/>
    <w:rsid w:val="00B3148D"/>
    <w:rsid w:val="00B31CC5"/>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7E57"/>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607"/>
    <w:rsid w:val="00B81787"/>
    <w:rsid w:val="00B81E23"/>
    <w:rsid w:val="00B8280A"/>
    <w:rsid w:val="00B83280"/>
    <w:rsid w:val="00B83638"/>
    <w:rsid w:val="00B838AA"/>
    <w:rsid w:val="00B839BC"/>
    <w:rsid w:val="00B84738"/>
    <w:rsid w:val="00B84B83"/>
    <w:rsid w:val="00B85057"/>
    <w:rsid w:val="00B85087"/>
    <w:rsid w:val="00B853F9"/>
    <w:rsid w:val="00B860D7"/>
    <w:rsid w:val="00B868DC"/>
    <w:rsid w:val="00B86FAD"/>
    <w:rsid w:val="00B87B8A"/>
    <w:rsid w:val="00B9190B"/>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842"/>
    <w:rsid w:val="00BA4D41"/>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55CC"/>
    <w:rsid w:val="00C15941"/>
    <w:rsid w:val="00C160D1"/>
    <w:rsid w:val="00C168BD"/>
    <w:rsid w:val="00C16B20"/>
    <w:rsid w:val="00C16E20"/>
    <w:rsid w:val="00C170CD"/>
    <w:rsid w:val="00C175D6"/>
    <w:rsid w:val="00C17EE4"/>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F77"/>
    <w:rsid w:val="00C348FF"/>
    <w:rsid w:val="00C34CC3"/>
    <w:rsid w:val="00C34F30"/>
    <w:rsid w:val="00C363E7"/>
    <w:rsid w:val="00C3640A"/>
    <w:rsid w:val="00C36F96"/>
    <w:rsid w:val="00C3796D"/>
    <w:rsid w:val="00C4006C"/>
    <w:rsid w:val="00C4057F"/>
    <w:rsid w:val="00C40753"/>
    <w:rsid w:val="00C40815"/>
    <w:rsid w:val="00C40B89"/>
    <w:rsid w:val="00C40B90"/>
    <w:rsid w:val="00C41BEB"/>
    <w:rsid w:val="00C427A2"/>
    <w:rsid w:val="00C42E64"/>
    <w:rsid w:val="00C42FF6"/>
    <w:rsid w:val="00C43C61"/>
    <w:rsid w:val="00C43F21"/>
    <w:rsid w:val="00C441C2"/>
    <w:rsid w:val="00C4421D"/>
    <w:rsid w:val="00C46397"/>
    <w:rsid w:val="00C47B24"/>
    <w:rsid w:val="00C50040"/>
    <w:rsid w:val="00C507A3"/>
    <w:rsid w:val="00C5183A"/>
    <w:rsid w:val="00C51B9C"/>
    <w:rsid w:val="00C51BEC"/>
    <w:rsid w:val="00C521AE"/>
    <w:rsid w:val="00C52B13"/>
    <w:rsid w:val="00C54A87"/>
    <w:rsid w:val="00C55428"/>
    <w:rsid w:val="00C55D3D"/>
    <w:rsid w:val="00C55DE1"/>
    <w:rsid w:val="00C56679"/>
    <w:rsid w:val="00C568CE"/>
    <w:rsid w:val="00C56A7A"/>
    <w:rsid w:val="00C56BC5"/>
    <w:rsid w:val="00C56DB7"/>
    <w:rsid w:val="00C572FF"/>
    <w:rsid w:val="00C57991"/>
    <w:rsid w:val="00C60B64"/>
    <w:rsid w:val="00C60D23"/>
    <w:rsid w:val="00C6101E"/>
    <w:rsid w:val="00C613E0"/>
    <w:rsid w:val="00C615B8"/>
    <w:rsid w:val="00C61AFD"/>
    <w:rsid w:val="00C62D67"/>
    <w:rsid w:val="00C6356B"/>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F2C"/>
    <w:rsid w:val="00C8734C"/>
    <w:rsid w:val="00C87A9E"/>
    <w:rsid w:val="00C904E4"/>
    <w:rsid w:val="00C90BC4"/>
    <w:rsid w:val="00C91633"/>
    <w:rsid w:val="00C935B7"/>
    <w:rsid w:val="00C9382C"/>
    <w:rsid w:val="00C94BAE"/>
    <w:rsid w:val="00C94C71"/>
    <w:rsid w:val="00C94F15"/>
    <w:rsid w:val="00C94F74"/>
    <w:rsid w:val="00C954BD"/>
    <w:rsid w:val="00C95615"/>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680"/>
    <w:rsid w:val="00CD57E1"/>
    <w:rsid w:val="00CD59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6768"/>
    <w:rsid w:val="00CE68A3"/>
    <w:rsid w:val="00CE79A8"/>
    <w:rsid w:val="00CE7E34"/>
    <w:rsid w:val="00CF0639"/>
    <w:rsid w:val="00CF0AE5"/>
    <w:rsid w:val="00CF14A0"/>
    <w:rsid w:val="00CF19DF"/>
    <w:rsid w:val="00CF1F8D"/>
    <w:rsid w:val="00CF2172"/>
    <w:rsid w:val="00CF25F6"/>
    <w:rsid w:val="00CF2BBB"/>
    <w:rsid w:val="00CF366B"/>
    <w:rsid w:val="00CF3B6C"/>
    <w:rsid w:val="00CF4810"/>
    <w:rsid w:val="00CF4D38"/>
    <w:rsid w:val="00CF4F1F"/>
    <w:rsid w:val="00CF4F47"/>
    <w:rsid w:val="00CF5030"/>
    <w:rsid w:val="00CF6A40"/>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666"/>
    <w:rsid w:val="00D13CB3"/>
    <w:rsid w:val="00D14D12"/>
    <w:rsid w:val="00D14EF2"/>
    <w:rsid w:val="00D15411"/>
    <w:rsid w:val="00D171C8"/>
    <w:rsid w:val="00D17C55"/>
    <w:rsid w:val="00D20137"/>
    <w:rsid w:val="00D208E6"/>
    <w:rsid w:val="00D20B09"/>
    <w:rsid w:val="00D21A55"/>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430"/>
    <w:rsid w:val="00D43441"/>
    <w:rsid w:val="00D439C3"/>
    <w:rsid w:val="00D43F3D"/>
    <w:rsid w:val="00D449C6"/>
    <w:rsid w:val="00D44A3B"/>
    <w:rsid w:val="00D451A0"/>
    <w:rsid w:val="00D451C2"/>
    <w:rsid w:val="00D45385"/>
    <w:rsid w:val="00D45C34"/>
    <w:rsid w:val="00D4777F"/>
    <w:rsid w:val="00D478D3"/>
    <w:rsid w:val="00D5062B"/>
    <w:rsid w:val="00D50B46"/>
    <w:rsid w:val="00D50B72"/>
    <w:rsid w:val="00D51867"/>
    <w:rsid w:val="00D51AC9"/>
    <w:rsid w:val="00D51AD4"/>
    <w:rsid w:val="00D52DBB"/>
    <w:rsid w:val="00D531B6"/>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2AEF"/>
    <w:rsid w:val="00DB2B51"/>
    <w:rsid w:val="00DB341C"/>
    <w:rsid w:val="00DB382B"/>
    <w:rsid w:val="00DB40CF"/>
    <w:rsid w:val="00DB4525"/>
    <w:rsid w:val="00DB47A5"/>
    <w:rsid w:val="00DB4D17"/>
    <w:rsid w:val="00DB614A"/>
    <w:rsid w:val="00DB6DD3"/>
    <w:rsid w:val="00DB79CB"/>
    <w:rsid w:val="00DB7CED"/>
    <w:rsid w:val="00DC09FC"/>
    <w:rsid w:val="00DC102C"/>
    <w:rsid w:val="00DC1E1B"/>
    <w:rsid w:val="00DC1EC8"/>
    <w:rsid w:val="00DC2E18"/>
    <w:rsid w:val="00DC30FE"/>
    <w:rsid w:val="00DC3512"/>
    <w:rsid w:val="00DC385E"/>
    <w:rsid w:val="00DC3EC8"/>
    <w:rsid w:val="00DC4068"/>
    <w:rsid w:val="00DC4145"/>
    <w:rsid w:val="00DC493B"/>
    <w:rsid w:val="00DC6E62"/>
    <w:rsid w:val="00DC759F"/>
    <w:rsid w:val="00DD0B51"/>
    <w:rsid w:val="00DD0BE6"/>
    <w:rsid w:val="00DD1707"/>
    <w:rsid w:val="00DD1963"/>
    <w:rsid w:val="00DD1C59"/>
    <w:rsid w:val="00DD263C"/>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79E1"/>
    <w:rsid w:val="00DF7E57"/>
    <w:rsid w:val="00E000D0"/>
    <w:rsid w:val="00E00F2E"/>
    <w:rsid w:val="00E01525"/>
    <w:rsid w:val="00E0160E"/>
    <w:rsid w:val="00E0186E"/>
    <w:rsid w:val="00E01FE1"/>
    <w:rsid w:val="00E024B2"/>
    <w:rsid w:val="00E025CC"/>
    <w:rsid w:val="00E02FCC"/>
    <w:rsid w:val="00E03063"/>
    <w:rsid w:val="00E036B3"/>
    <w:rsid w:val="00E044C5"/>
    <w:rsid w:val="00E051B1"/>
    <w:rsid w:val="00E057EA"/>
    <w:rsid w:val="00E05E00"/>
    <w:rsid w:val="00E06357"/>
    <w:rsid w:val="00E0667E"/>
    <w:rsid w:val="00E06F09"/>
    <w:rsid w:val="00E06FAA"/>
    <w:rsid w:val="00E073FE"/>
    <w:rsid w:val="00E07916"/>
    <w:rsid w:val="00E07AA2"/>
    <w:rsid w:val="00E1015B"/>
    <w:rsid w:val="00E106AE"/>
    <w:rsid w:val="00E10723"/>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408E9"/>
    <w:rsid w:val="00E413F2"/>
    <w:rsid w:val="00E418F1"/>
    <w:rsid w:val="00E419DB"/>
    <w:rsid w:val="00E41C29"/>
    <w:rsid w:val="00E41D45"/>
    <w:rsid w:val="00E4238A"/>
    <w:rsid w:val="00E4324D"/>
    <w:rsid w:val="00E433F1"/>
    <w:rsid w:val="00E4443F"/>
    <w:rsid w:val="00E44935"/>
    <w:rsid w:val="00E4496D"/>
    <w:rsid w:val="00E4579A"/>
    <w:rsid w:val="00E46771"/>
    <w:rsid w:val="00E46958"/>
    <w:rsid w:val="00E46C4C"/>
    <w:rsid w:val="00E46E0B"/>
    <w:rsid w:val="00E471ED"/>
    <w:rsid w:val="00E478DA"/>
    <w:rsid w:val="00E479FF"/>
    <w:rsid w:val="00E5076A"/>
    <w:rsid w:val="00E50E1F"/>
    <w:rsid w:val="00E5109D"/>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73D"/>
    <w:rsid w:val="00E81A7E"/>
    <w:rsid w:val="00E81B11"/>
    <w:rsid w:val="00E82FC8"/>
    <w:rsid w:val="00E83069"/>
    <w:rsid w:val="00E834BF"/>
    <w:rsid w:val="00E83987"/>
    <w:rsid w:val="00E84CC4"/>
    <w:rsid w:val="00E855B1"/>
    <w:rsid w:val="00E86621"/>
    <w:rsid w:val="00E87BD5"/>
    <w:rsid w:val="00E87C5D"/>
    <w:rsid w:val="00E90B12"/>
    <w:rsid w:val="00E90D43"/>
    <w:rsid w:val="00E912B1"/>
    <w:rsid w:val="00E921EF"/>
    <w:rsid w:val="00E927FD"/>
    <w:rsid w:val="00E92BF5"/>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5A78"/>
    <w:rsid w:val="00EA5DE5"/>
    <w:rsid w:val="00EA71D3"/>
    <w:rsid w:val="00EA781C"/>
    <w:rsid w:val="00EB051D"/>
    <w:rsid w:val="00EB1072"/>
    <w:rsid w:val="00EB1A14"/>
    <w:rsid w:val="00EB2610"/>
    <w:rsid w:val="00EB2D92"/>
    <w:rsid w:val="00EB3229"/>
    <w:rsid w:val="00EB341F"/>
    <w:rsid w:val="00EB36B5"/>
    <w:rsid w:val="00EB43C4"/>
    <w:rsid w:val="00EB5C2A"/>
    <w:rsid w:val="00EB686E"/>
    <w:rsid w:val="00EB6974"/>
    <w:rsid w:val="00EB6D6E"/>
    <w:rsid w:val="00EB7570"/>
    <w:rsid w:val="00EB76BD"/>
    <w:rsid w:val="00EC05A9"/>
    <w:rsid w:val="00EC12D9"/>
    <w:rsid w:val="00EC2103"/>
    <w:rsid w:val="00EC27C8"/>
    <w:rsid w:val="00EC284D"/>
    <w:rsid w:val="00EC2BE5"/>
    <w:rsid w:val="00EC2CCA"/>
    <w:rsid w:val="00EC2E57"/>
    <w:rsid w:val="00EC2E71"/>
    <w:rsid w:val="00EC3A46"/>
    <w:rsid w:val="00EC3AA0"/>
    <w:rsid w:val="00EC4D53"/>
    <w:rsid w:val="00EC5347"/>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50AF"/>
    <w:rsid w:val="00EF5363"/>
    <w:rsid w:val="00EF59B1"/>
    <w:rsid w:val="00EF59F2"/>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526"/>
    <w:rsid w:val="00F16D91"/>
    <w:rsid w:val="00F1705F"/>
    <w:rsid w:val="00F1756F"/>
    <w:rsid w:val="00F201FD"/>
    <w:rsid w:val="00F204E4"/>
    <w:rsid w:val="00F2085A"/>
    <w:rsid w:val="00F214B1"/>
    <w:rsid w:val="00F2227C"/>
    <w:rsid w:val="00F23548"/>
    <w:rsid w:val="00F2359A"/>
    <w:rsid w:val="00F2404C"/>
    <w:rsid w:val="00F2429E"/>
    <w:rsid w:val="00F25371"/>
    <w:rsid w:val="00F25545"/>
    <w:rsid w:val="00F265B9"/>
    <w:rsid w:val="00F266AA"/>
    <w:rsid w:val="00F2685A"/>
    <w:rsid w:val="00F2701E"/>
    <w:rsid w:val="00F27661"/>
    <w:rsid w:val="00F2796B"/>
    <w:rsid w:val="00F279BD"/>
    <w:rsid w:val="00F27F89"/>
    <w:rsid w:val="00F27FFD"/>
    <w:rsid w:val="00F3079C"/>
    <w:rsid w:val="00F3223F"/>
    <w:rsid w:val="00F3267F"/>
    <w:rsid w:val="00F33779"/>
    <w:rsid w:val="00F33B9C"/>
    <w:rsid w:val="00F34050"/>
    <w:rsid w:val="00F340F6"/>
    <w:rsid w:val="00F34129"/>
    <w:rsid w:val="00F3424C"/>
    <w:rsid w:val="00F34397"/>
    <w:rsid w:val="00F354AA"/>
    <w:rsid w:val="00F35F09"/>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496"/>
    <w:rsid w:val="00F45854"/>
    <w:rsid w:val="00F45D0C"/>
    <w:rsid w:val="00F460F1"/>
    <w:rsid w:val="00F468F2"/>
    <w:rsid w:val="00F4697F"/>
    <w:rsid w:val="00F46B56"/>
    <w:rsid w:val="00F46C8A"/>
    <w:rsid w:val="00F46D54"/>
    <w:rsid w:val="00F46DBE"/>
    <w:rsid w:val="00F50DC4"/>
    <w:rsid w:val="00F524C0"/>
    <w:rsid w:val="00F52A72"/>
    <w:rsid w:val="00F53483"/>
    <w:rsid w:val="00F53548"/>
    <w:rsid w:val="00F540CB"/>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DFC"/>
    <w:rsid w:val="00F62F58"/>
    <w:rsid w:val="00F6340C"/>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A01D4"/>
    <w:rsid w:val="00FA2BD7"/>
    <w:rsid w:val="00FA3BAD"/>
    <w:rsid w:val="00FA3F06"/>
    <w:rsid w:val="00FA4744"/>
    <w:rsid w:val="00FA6DE6"/>
    <w:rsid w:val="00FA6F37"/>
    <w:rsid w:val="00FA6FA7"/>
    <w:rsid w:val="00FA77CA"/>
    <w:rsid w:val="00FB0862"/>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64EF"/>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DBD"/>
    <w:rsid w:val="00FF4204"/>
    <w:rsid w:val="00FF4314"/>
    <w:rsid w:val="00FF456E"/>
    <w:rsid w:val="00FF4A19"/>
    <w:rsid w:val="00FF4CE2"/>
    <w:rsid w:val="00FF5D14"/>
    <w:rsid w:val="00FF7533"/>
    <w:rsid w:val="01F0299B"/>
    <w:rsid w:val="026E4F91"/>
    <w:rsid w:val="041D095D"/>
    <w:rsid w:val="05C87DB9"/>
    <w:rsid w:val="0961739E"/>
    <w:rsid w:val="098E6083"/>
    <w:rsid w:val="0B205B2B"/>
    <w:rsid w:val="0B782559"/>
    <w:rsid w:val="0D566BC9"/>
    <w:rsid w:val="0E180322"/>
    <w:rsid w:val="0E8C4995"/>
    <w:rsid w:val="0EF27BFB"/>
    <w:rsid w:val="0FBC50EF"/>
    <w:rsid w:val="115F3FD7"/>
    <w:rsid w:val="11A259DD"/>
    <w:rsid w:val="120474A0"/>
    <w:rsid w:val="13102ABE"/>
    <w:rsid w:val="140E6BA9"/>
    <w:rsid w:val="167D280D"/>
    <w:rsid w:val="17047766"/>
    <w:rsid w:val="17935895"/>
    <w:rsid w:val="17F52C18"/>
    <w:rsid w:val="184530EF"/>
    <w:rsid w:val="18AE5E79"/>
    <w:rsid w:val="19227A4B"/>
    <w:rsid w:val="194973F3"/>
    <w:rsid w:val="19CA1A2E"/>
    <w:rsid w:val="1B3E182A"/>
    <w:rsid w:val="1B4B5195"/>
    <w:rsid w:val="1C174C6F"/>
    <w:rsid w:val="1C7C020D"/>
    <w:rsid w:val="1C8F78BA"/>
    <w:rsid w:val="1C9B0D84"/>
    <w:rsid w:val="1CDD3F3B"/>
    <w:rsid w:val="1D4D6869"/>
    <w:rsid w:val="1DCF0496"/>
    <w:rsid w:val="21760101"/>
    <w:rsid w:val="22B25284"/>
    <w:rsid w:val="22C07D9F"/>
    <w:rsid w:val="23056CBA"/>
    <w:rsid w:val="234C1E42"/>
    <w:rsid w:val="23C6059E"/>
    <w:rsid w:val="23C95079"/>
    <w:rsid w:val="24031A53"/>
    <w:rsid w:val="24307C26"/>
    <w:rsid w:val="248E5D4C"/>
    <w:rsid w:val="24C47897"/>
    <w:rsid w:val="24E337F8"/>
    <w:rsid w:val="258D3B57"/>
    <w:rsid w:val="262336EE"/>
    <w:rsid w:val="269E4C0C"/>
    <w:rsid w:val="27024D1A"/>
    <w:rsid w:val="28236B99"/>
    <w:rsid w:val="2AD85037"/>
    <w:rsid w:val="2BD0253B"/>
    <w:rsid w:val="2C444480"/>
    <w:rsid w:val="2C564DC3"/>
    <w:rsid w:val="2C741EBE"/>
    <w:rsid w:val="2D6C141D"/>
    <w:rsid w:val="2DE602CF"/>
    <w:rsid w:val="2EB64B4B"/>
    <w:rsid w:val="2ED533DD"/>
    <w:rsid w:val="2EDB590A"/>
    <w:rsid w:val="2F0A29E3"/>
    <w:rsid w:val="30817D6A"/>
    <w:rsid w:val="3157114E"/>
    <w:rsid w:val="31F2037F"/>
    <w:rsid w:val="329B11F6"/>
    <w:rsid w:val="336E087E"/>
    <w:rsid w:val="33C3087D"/>
    <w:rsid w:val="35961B12"/>
    <w:rsid w:val="364523AD"/>
    <w:rsid w:val="36700D38"/>
    <w:rsid w:val="36C4673D"/>
    <w:rsid w:val="37B10B63"/>
    <w:rsid w:val="37D17C49"/>
    <w:rsid w:val="38950836"/>
    <w:rsid w:val="39056AAD"/>
    <w:rsid w:val="390721D7"/>
    <w:rsid w:val="393B510C"/>
    <w:rsid w:val="393F4767"/>
    <w:rsid w:val="39A97E97"/>
    <w:rsid w:val="3A260C29"/>
    <w:rsid w:val="3AA97334"/>
    <w:rsid w:val="3B57268D"/>
    <w:rsid w:val="3B6176CE"/>
    <w:rsid w:val="3BF9504C"/>
    <w:rsid w:val="3CF11603"/>
    <w:rsid w:val="3D7507FB"/>
    <w:rsid w:val="3EB5127A"/>
    <w:rsid w:val="3F503E5E"/>
    <w:rsid w:val="3FC16214"/>
    <w:rsid w:val="41576FF8"/>
    <w:rsid w:val="41D9164E"/>
    <w:rsid w:val="41DD521D"/>
    <w:rsid w:val="423B7022"/>
    <w:rsid w:val="4389060E"/>
    <w:rsid w:val="43C8028A"/>
    <w:rsid w:val="43D51667"/>
    <w:rsid w:val="443B2C25"/>
    <w:rsid w:val="448421F1"/>
    <w:rsid w:val="45D37D9B"/>
    <w:rsid w:val="48194FD5"/>
    <w:rsid w:val="484514CB"/>
    <w:rsid w:val="48C86EE1"/>
    <w:rsid w:val="49FA6EF8"/>
    <w:rsid w:val="4A784961"/>
    <w:rsid w:val="4ACF3A3C"/>
    <w:rsid w:val="4B1700DF"/>
    <w:rsid w:val="4E4D4EC9"/>
    <w:rsid w:val="4F0F6A19"/>
    <w:rsid w:val="51D10A66"/>
    <w:rsid w:val="528A390F"/>
    <w:rsid w:val="528C6991"/>
    <w:rsid w:val="52C3297B"/>
    <w:rsid w:val="54054633"/>
    <w:rsid w:val="540605E4"/>
    <w:rsid w:val="547F0032"/>
    <w:rsid w:val="54A02A20"/>
    <w:rsid w:val="55C87B3E"/>
    <w:rsid w:val="57A3495A"/>
    <w:rsid w:val="58D67D8C"/>
    <w:rsid w:val="58E10577"/>
    <w:rsid w:val="59165EF7"/>
    <w:rsid w:val="59702A12"/>
    <w:rsid w:val="59741608"/>
    <w:rsid w:val="5AED2A9C"/>
    <w:rsid w:val="5BC746C9"/>
    <w:rsid w:val="5CC61F72"/>
    <w:rsid w:val="5CF206F7"/>
    <w:rsid w:val="5EA0340D"/>
    <w:rsid w:val="5ED66C3C"/>
    <w:rsid w:val="5FDD643B"/>
    <w:rsid w:val="60896EF0"/>
    <w:rsid w:val="60BA3E42"/>
    <w:rsid w:val="6194383B"/>
    <w:rsid w:val="61CB5375"/>
    <w:rsid w:val="623348CA"/>
    <w:rsid w:val="625754CA"/>
    <w:rsid w:val="658C3295"/>
    <w:rsid w:val="65CA685B"/>
    <w:rsid w:val="65CF34A7"/>
    <w:rsid w:val="65F660EF"/>
    <w:rsid w:val="6673798C"/>
    <w:rsid w:val="66A46871"/>
    <w:rsid w:val="66BA0C24"/>
    <w:rsid w:val="673905B6"/>
    <w:rsid w:val="681C3942"/>
    <w:rsid w:val="68460AAC"/>
    <w:rsid w:val="68AC1CFE"/>
    <w:rsid w:val="6BCD1DE6"/>
    <w:rsid w:val="6BF80185"/>
    <w:rsid w:val="6C21520E"/>
    <w:rsid w:val="6C505023"/>
    <w:rsid w:val="6CED58EE"/>
    <w:rsid w:val="6D14299F"/>
    <w:rsid w:val="6D672A1E"/>
    <w:rsid w:val="6DC237D1"/>
    <w:rsid w:val="6F40725E"/>
    <w:rsid w:val="6F4C2770"/>
    <w:rsid w:val="711172CF"/>
    <w:rsid w:val="71D64AC4"/>
    <w:rsid w:val="71FD54DD"/>
    <w:rsid w:val="739A7F5B"/>
    <w:rsid w:val="7410294D"/>
    <w:rsid w:val="76D71644"/>
    <w:rsid w:val="776C2FB6"/>
    <w:rsid w:val="79982284"/>
    <w:rsid w:val="7998662D"/>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0"/>
    <w:pPr>
      <w:spacing w:after="120"/>
    </w:pPr>
  </w:style>
  <w:style w:type="paragraph" w:styleId="8">
    <w:name w:val="Normal Indent"/>
    <w:basedOn w:val="1"/>
    <w:link w:val="63"/>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99"/>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Char"/>
    <w:basedOn w:val="52"/>
    <w:link w:val="4"/>
    <w:qFormat/>
    <w:uiPriority w:val="0"/>
    <w:rPr>
      <w:b/>
      <w:bCs/>
      <w:kern w:val="2"/>
      <w:sz w:val="24"/>
      <w:szCs w:val="32"/>
    </w:rPr>
  </w:style>
  <w:style w:type="character" w:customStyle="1" w:styleId="60">
    <w:name w:val="标题 1 Char"/>
    <w:basedOn w:val="52"/>
    <w:link w:val="3"/>
    <w:qFormat/>
    <w:uiPriority w:val="0"/>
    <w:rPr>
      <w:rFonts w:eastAsiaTheme="minorEastAsia"/>
      <w:b/>
      <w:kern w:val="44"/>
      <w:sz w:val="44"/>
      <w:szCs w:val="28"/>
    </w:rPr>
  </w:style>
  <w:style w:type="character" w:customStyle="1" w:styleId="61">
    <w:name w:val="标题 2 Char"/>
    <w:basedOn w:val="52"/>
    <w:link w:val="5"/>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99"/>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6"/>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5"/>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表格内文字"/>
    <w:basedOn w:val="1"/>
    <w:qFormat/>
    <w:uiPriority w:val="0"/>
    <w:rPr>
      <w:rFonts w:ascii="Times New Roman" w:hAnsi="Times New Roman" w:eastAsia="宋体"/>
      <w:color w:val="auto"/>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0736D-21F2-4AAA-8AE3-FB026078326B}">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77</Pages>
  <Words>47482</Words>
  <Characters>51231</Characters>
  <Lines>365</Lines>
  <Paragraphs>102</Paragraphs>
  <TotalTime>22</TotalTime>
  <ScaleCrop>false</ScaleCrop>
  <LinksUpToDate>false</LinksUpToDate>
  <CharactersWithSpaces>53526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是创不是灿</cp:lastModifiedBy>
  <cp:lastPrinted>2020-05-26T01:03:00Z</cp:lastPrinted>
  <dcterms:modified xsi:type="dcterms:W3CDTF">2023-03-03T10:11:19Z</dcterms:modified>
  <dc:title>招标编号：UHO2010-G0029</dc:title>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FCCADAF3542041818390D411A95AF562</vt:lpwstr>
  </property>
</Properties>
</file>